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B332" w14:textId="77777777" w:rsidR="00906A1F" w:rsidRPr="00906A1F" w:rsidRDefault="00906A1F" w:rsidP="00906A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Read of the situation</w:t>
      </w:r>
    </w:p>
    <w:p w14:paraId="2B314707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Two linked decisions sit here, and the framing of the second one is a trap. First, this is an unwitnessed head injury in an intoxicated patient — he can't be cleared on exam alone, so "minor" is an assumption the team hasn't earned yet. Second, the "discharge vs. SBIRT" framing is a false binary: the real answer is that medical safety and addressing alcohol aren't competing options — you do the workup </w:t>
      </w:r>
      <w:r w:rsidRPr="00906A1F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and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you treat this as a textbook teachable moment, sequenced correctly.</w:t>
      </w:r>
    </w:p>
    <w:p w14:paraId="1C7EA46C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As with the prior case, this is a high-stakes clinical scenario; the following reflects standard ED decision-rule and SBIRT principles, not a substitute for the treating team's judgment.</w:t>
      </w:r>
    </w:p>
    <w:p w14:paraId="417684A6" w14:textId="77777777" w:rsidR="00906A1F" w:rsidRPr="00906A1F" w:rsidRDefault="00906A1F" w:rsidP="00906A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Recommendation</w:t>
      </w:r>
    </w:p>
    <w:p w14:paraId="7ACB9DBB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Don't discharge, and don't skip the alcohol piece. Secure the head/neck workup first, then perform screening and a brief intervention once he's sober enough to engage.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Concretely: CT head now, treat the C-spine as not-yet-clearable because intoxication invalidates clinical clearance, observe until GCS 15 and sober, watch for withdrawal — then do AUDIT-C → brief motivational intervention → referral.</w:t>
      </w:r>
    </w:p>
    <w:p w14:paraId="706F0F6F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one-line reason: </w:t>
      </w: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intoxication means you can't trust the neuro exam yet, and an alcohol-related injury in a patient with comorbid OUD and collateral concern is exactly the presentation SBIRT exists for.</w:t>
      </w:r>
    </w:p>
    <w:p w14:paraId="6FB002F1" w14:textId="77777777" w:rsidR="00906A1F" w:rsidRPr="00906A1F" w:rsidRDefault="00906A1F" w:rsidP="00906A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Why</w:t>
      </w:r>
    </w:p>
    <w:p w14:paraId="4E6DCDDD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On the head injury, the decisive fact is that you cannot attribute his GCS 14 and confusion to alcohol — that's the classic error. He has a real impact (parietal scalp hematoma), documented LOC, amnesia, an unwitnessed event with a ~6-hour unknown interval, and a confounded exam. Under the Canadian CT Head Rule, GCS below 15 in a patient with LOC/amnesia is a high-risk criterion; combined with intoxication preventing reliable assessment, a non-contrast CT head is the defensible call. Same logic blocks clinical C-spine clearance: NEXUS/Canadian C-spine rules require a sober, reliable patient, so "denies neck pain" doesn't count here — maintain precautions until he's clearable or imaged.</w:t>
      </w:r>
    </w:p>
    <w:p w14:paraId="657F69EE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There's also a withdrawal angle worth flagging: HR 115 has several explanations (alcohol, anxiety, pain), but given his pattern of use, the unknown last-drink time, and the fact that he's on buprenorphine-naloxone, the team should anticipate and monitor for alcohol withdrawal, which can be serious.</w:t>
      </w:r>
    </w:p>
    <w:p w14:paraId="640FB6B6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On SBIRT, the case for acting is strong: an injury directly caused by intoxication, minimization ("a bit"), corroborating collateral from his girlfriend, and comorbid depression/anxiety and opioid use disorder in remission. Alcohol misuse is a significant relapse and safety risk for someone on buprenorphine, so this isn't a peripheral issue — it's central. Screening plus brief counseling for unhealthy alcohol use is a broadly endorsed, evidence-based intervention (USPSTF Grade B in adults). I'll be honest about calibration: the evidence specifically for </w:t>
      </w:r>
      <w:r w:rsidRPr="00906A1F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ED-initiated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SBIRT changing long-term drinking outcomes is more mixed than for primary-care settings, 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and the "referral to treatment" arm in particular has modest trial support. But that argues for doing it well and linking him to his existing addiction provider — not for skipping it. Discharging without addressing alcohol would be the substandard path.</w:t>
      </w:r>
    </w:p>
    <w:p w14:paraId="49E1497F" w14:textId="77777777" w:rsidR="00906A1F" w:rsidRPr="00906A1F" w:rsidRDefault="00906A1F" w:rsidP="00906A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Main risk / what changes the call: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if the CT shows intracranial injury, this becomes a neurosurgical/admission pathway and the alcohol conversation waits. If withdrawal develops, treat it (and note that on buprenorphine his presentation may be atypical). And timing matters — a brief intervention attempted while he's still intoxicated and confused won't land and isn't valid consent for a meaningful conversation; wait for GCS 15 and sobriety.</w:t>
      </w:r>
    </w:p>
    <w:p w14:paraId="62CD5DC2" w14:textId="77777777" w:rsidR="00906A1F" w:rsidRPr="00906A1F" w:rsidRDefault="00906A1F" w:rsidP="00906A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Next steps</w:t>
      </w:r>
    </w:p>
    <w:p w14:paraId="7B92C665" w14:textId="77777777" w:rsidR="00906A1F" w:rsidRPr="00906A1F" w:rsidRDefault="00906A1F" w:rsidP="00906A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Image and observe: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non-contrast CT head; maintain C-spine precautions until clearable when sober; serial neuro/GCS checks; keep him until GCS 15 and clinically sober.</w:t>
      </w:r>
    </w:p>
    <w:p w14:paraId="48D2189C" w14:textId="77777777" w:rsidR="00906A1F" w:rsidRPr="00906A1F" w:rsidRDefault="00906A1F" w:rsidP="00906A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Anticipate withdrawal: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monitor vitals and symptoms over the observation period; have a treatment pathway ready; recheck the tachycardia as he sobers.</w:t>
      </w:r>
    </w:p>
    <w:p w14:paraId="3F07058B" w14:textId="77777777" w:rsidR="00906A1F" w:rsidRPr="00906A1F" w:rsidRDefault="00906A1F" w:rsidP="00906A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Then SBIRT, sequenced: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when he can engage, screen with AUDIT-C (or full AUDIT), deliver a short, non-judgmental motivational intervention, and arrange referral — ideally looping in his existing buprenorphine/addiction provider and considering the depression/anxiety overlap.</w:t>
      </w:r>
    </w:p>
    <w:p w14:paraId="0B6C7C6B" w14:textId="77777777" w:rsidR="00906A1F" w:rsidRPr="00906A1F" w:rsidRDefault="00906A1F" w:rsidP="00906A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Quiet safety check: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depression plus intoxication plus an injury warrants a brief, low-key check that this was accidental and that he's not at risk of self-harm.</w:t>
      </w:r>
    </w:p>
    <w:p w14:paraId="5BEDBCF5" w14:textId="77777777" w:rsidR="00906A1F" w:rsidRPr="00906A1F" w:rsidRDefault="00906A1F" w:rsidP="00906A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What to watch:</w:t>
      </w: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improving GCS toward 15 and clearing sensorium = head injury benign as hoped; rising agitation/tremor/autonomic signs = withdrawal; willingness to engage = green light for the intervention; if he declines, respect autonomy but still give brief advice, harm-reduction guidance, and written referral resources.</w:t>
      </w:r>
    </w:p>
    <w:p w14:paraId="4A76E3A9" w14:textId="77777777" w:rsidR="00906A1F" w:rsidRPr="00906A1F" w:rsidRDefault="00906A1F" w:rsidP="00906A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Open questions</w:t>
      </w:r>
    </w:p>
    <w:p w14:paraId="4E08B05F" w14:textId="77777777" w:rsidR="00906A1F" w:rsidRPr="00906A1F" w:rsidRDefault="00906A1F" w:rsidP="00906A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What's the actual time of injury and last alcohol/buprenorphine dose? Both shape the withdrawal watch and how to read his neuro status.</w:t>
      </w:r>
    </w:p>
    <w:p w14:paraId="3E630E85" w14:textId="77777777" w:rsidR="00906A1F" w:rsidRPr="00906A1F" w:rsidRDefault="00906A1F" w:rsidP="00906A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06A1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Is he up to date on his buprenorphine and engaged with his addiction provider? That's the natural anchor for the "referral" step rather than starting from scratch.</w:t>
      </w:r>
    </w:p>
    <w:p w14:paraId="534E3527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2126A"/>
    <w:multiLevelType w:val="multilevel"/>
    <w:tmpl w:val="1CE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16724"/>
    <w:multiLevelType w:val="multilevel"/>
    <w:tmpl w:val="515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898212">
    <w:abstractNumId w:val="0"/>
  </w:num>
  <w:num w:numId="2" w16cid:durableId="182398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1F"/>
    <w:rsid w:val="000F1CC1"/>
    <w:rsid w:val="0056380E"/>
    <w:rsid w:val="007500F4"/>
    <w:rsid w:val="00750518"/>
    <w:rsid w:val="00826995"/>
    <w:rsid w:val="00906A1F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220F2"/>
  <w15:chartTrackingRefBased/>
  <w15:docId w15:val="{CDA46732-73CE-1049-ACEC-CFCCED59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0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6A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6A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6A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6A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90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0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90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906A1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06A1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06A1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06A1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06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6A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0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6A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0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6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06A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6A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6A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06A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6A1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906A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Emphasis"/>
    <w:basedOn w:val="a0"/>
    <w:uiPriority w:val="20"/>
    <w:qFormat/>
    <w:rsid w:val="00906A1F"/>
    <w:rPr>
      <w:i/>
      <w:iCs/>
    </w:rPr>
  </w:style>
  <w:style w:type="character" w:styleId="ab">
    <w:name w:val="Strong"/>
    <w:basedOn w:val="a0"/>
    <w:uiPriority w:val="22"/>
    <w:qFormat/>
    <w:rsid w:val="00906A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4310</Characters>
  <Application>Microsoft Office Word</Application>
  <DocSecurity>0</DocSecurity>
  <Lines>74</Lines>
  <Paragraphs>20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2026-06-13T14:39:00Z</dcterms:created>
  <dcterms:modified xsi:type="dcterms:W3CDTF">2026-06-13T14:39:00Z</dcterms:modified>
</cp:coreProperties>
</file>