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709CE" w14:textId="77777777" w:rsidR="00F57AD9" w:rsidRPr="00F57AD9" w:rsidRDefault="00F57AD9" w:rsidP="00F57A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Read of the situation</w:t>
      </w:r>
    </w:p>
    <w:p w14:paraId="3DF013B4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Chad is a 29-year-old intoxicated patient with a fall, possible loss of consciousness, 6-hour down time, scalp hematoma, mild headache, GCS 14, confusion, and a history of opioid use disorder in remission on buprenorphine-naloxone. The immediate question is </w:t>
      </w: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safe head-injury management first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then whether this ED visit should trigger </w:t>
      </w: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alcohol-use screening, brief intervention, and referral to treatment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rather than simple discharge. </w:t>
      </w:r>
    </w:p>
    <w:p w14:paraId="3E30C180" w14:textId="77777777" w:rsidR="00F57AD9" w:rsidRPr="00F57AD9" w:rsidRDefault="00F57AD9" w:rsidP="00F57A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Recommendation</w:t>
      </w:r>
    </w:p>
    <w:p w14:paraId="6F7C0E8F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Do not discharge him without addressing alcohol use. First evaluate and clear the head injury safely, including CT head and observation until clinically sober/neurologically stable; then perform SBIRT before discharge.</w:t>
      </w:r>
    </w:p>
    <w:p w14:paraId="05477399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One-line reason: </w:t>
      </w: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this is both a possible traumatic brain injury and a clear alcohol-related injury, so safe care requires ruling out serious harm and using the ED visit as an intervention point.</w:t>
      </w:r>
    </w:p>
    <w:p w14:paraId="212A5A6C" w14:textId="77777777" w:rsidR="00F57AD9" w:rsidRPr="00F57AD9" w:rsidRDefault="00F57AD9" w:rsidP="00F57A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Why</w:t>
      </w:r>
    </w:p>
    <w:p w14:paraId="70DBB0A8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For the injury side, the risky features are </w:t>
      </w: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loss of consciousness/amnesia, GCS 14/confusion, intoxication, scalp hematoma, and delayed discovery after the fall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. Alcohol intoxication should not be used to explain away reduced consciousness after head injury. NICE head-injury guidance recommends CT imaging in adults with loss of consciousness or amnesia when risk factors are present, and emphasizes structured assessment and early management of head injury. </w:t>
      </w:r>
    </w:p>
    <w:p w14:paraId="37150B8D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The options are:</w:t>
      </w:r>
    </w:p>
    <w:p w14:paraId="3D68F711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1 — Discharge after basic exam because symptoms are mild.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This is the obvious-but-wrong default. It is fast, but unsafe: GCS 14 and intoxication make the neurologic exam less reliable, and he had a head impact with loss of consciousness/amnesia.</w:t>
      </w:r>
    </w:p>
    <w:p w14:paraId="7EDB0EA7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2 — Manage as mild traumatic brain injury first, then discharge with advice only.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>Better medically, but incomplete. It may rule out immediate intracranial injury, but ignores the cause of the injury: hazardous alcohol use.</w:t>
      </w:r>
    </w:p>
    <w:p w14:paraId="34CE27D0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Option 3 — CT/observe for head injury, then SBIRT and referral planning before discharge.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br/>
        <w:t xml:space="preserve">Best choice. It protects against missed trauma while also addressing the alcohol-related pattern. SAMHSA describes SBIRT as an integrated public-health approach for early intervention and treatment referral for people with substance use disorders or at risk, including in hospital emergency rooms and trauma centers. </w:t>
      </w:r>
    </w:p>
    <w:p w14:paraId="63DA15E0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The main risk is timing and patient readiness: if he remains intoxicated, confused, or defensive, a full motivational intervention may be less effective. That does not mean skipping it; it means doing screening when he can participate meaningfully, involving his girlfriend only with consent, and arranging follow-up.</w:t>
      </w:r>
    </w:p>
    <w:p w14:paraId="40861EDF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What would change the call: abnormal CT, worsening headache, vomiting, seizure, focal neurological signs, persistent GCS &lt;15, suicidal ideation, withdrawal risk, or inability to ensure safe supervision after discharge.</w:t>
      </w:r>
    </w:p>
    <w:p w14:paraId="745B2B73" w14:textId="77777777" w:rsidR="00F57AD9" w:rsidRPr="00F57AD9" w:rsidRDefault="00F57AD9" w:rsidP="00F57A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Next steps</w:t>
      </w:r>
    </w:p>
    <w:p w14:paraId="689EBDD5" w14:textId="77777777" w:rsidR="00F57AD9" w:rsidRPr="00F57AD9" w:rsidRDefault="00F57AD9" w:rsidP="00F5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Immediate safety assessment: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ABCs, repeat neuro exam, pupils, cervical spine assessment, pain score, glucose already checked, check for other injuries. </w:t>
      </w:r>
    </w:p>
    <w:p w14:paraId="2CE5732A" w14:textId="77777777" w:rsidR="00F57AD9" w:rsidRPr="00F57AD9" w:rsidRDefault="00F57AD9" w:rsidP="00F5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CT head and observation: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because of GCS 14/confusion, intoxication, loss of consciousness/amnesia, and scalp hematoma. Continue serial GCS/neuro checks until sober enough for reliable reassessment. </w:t>
      </w:r>
    </w:p>
    <w:p w14:paraId="797FE37A" w14:textId="77777777" w:rsidR="00F57AD9" w:rsidRPr="00F57AD9" w:rsidRDefault="00F57AD9" w:rsidP="00F5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Do not assume confusion is “just alcohol.”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Escalate if GCS drops, vomiting develops, headache worsens, behavior changes, seizure occurs, or focal signs appear. </w:t>
      </w:r>
    </w:p>
    <w:p w14:paraId="3A46BBA1" w14:textId="77777777" w:rsidR="00F57AD9" w:rsidRPr="00F57AD9" w:rsidRDefault="00F57AD9" w:rsidP="00F5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After serious injury is excluded: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screen alcohol use formally, for example with AUDIT-C or AUDIT, and ask about quantity, frequency, blackouts, injuries, withdrawal symptoms, and drinking despite consequences. </w:t>
      </w:r>
    </w:p>
    <w:p w14:paraId="4698D027" w14:textId="77777777" w:rsidR="00F57AD9" w:rsidRPr="00F57AD9" w:rsidRDefault="00F57AD9" w:rsidP="00F5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Brief intervention: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use a nonjudgmental approach: connect the fall to alcohol risk, ask permission to discuss drinking, reflect his minimization, and explore readiness to reduce or stop. </w:t>
      </w:r>
    </w:p>
    <w:p w14:paraId="6F7638A3" w14:textId="77777777" w:rsidR="00F57AD9" w:rsidRPr="00F57AD9" w:rsidRDefault="00F57AD9" w:rsidP="00F57A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Referral and discharge plan:</w:t>
      </w: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provide written head-injury precautions, no driving/alcohol, responsible adult observation, return precautions, follow-up with primary care/addiction services, and consider coordination with his buprenorphine prescriber or mental-health team. </w:t>
      </w:r>
    </w:p>
    <w:p w14:paraId="2567C891" w14:textId="77777777" w:rsidR="00F57AD9" w:rsidRPr="00F57AD9" w:rsidRDefault="00F57AD9" w:rsidP="00F57A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Open questions</w:t>
      </w:r>
    </w:p>
    <w:p w14:paraId="19862630" w14:textId="77777777" w:rsidR="00F57AD9" w:rsidRPr="00F57AD9" w:rsidRDefault="00F57AD9" w:rsidP="00F57A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F57AD9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Confirm whether CT head is normal, whether he returns to GCS 15 when sober, whether he has withdrawal risk, and whether there is any suicidal intent or self-harm concern given depression, anxiety, intoxication, and injury.</w:t>
      </w:r>
    </w:p>
    <w:p w14:paraId="32099FDD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86943"/>
    <w:multiLevelType w:val="multilevel"/>
    <w:tmpl w:val="0DAE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135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D9"/>
    <w:rsid w:val="000F1CC1"/>
    <w:rsid w:val="0056380E"/>
    <w:rsid w:val="007500F4"/>
    <w:rsid w:val="00750518"/>
    <w:rsid w:val="00826995"/>
    <w:rsid w:val="00915017"/>
    <w:rsid w:val="00A33099"/>
    <w:rsid w:val="00B604E0"/>
    <w:rsid w:val="00C74598"/>
    <w:rsid w:val="00D519B9"/>
    <w:rsid w:val="00D842AF"/>
    <w:rsid w:val="00E26B4F"/>
    <w:rsid w:val="00F56CF8"/>
    <w:rsid w:val="00F57AD9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D96B43"/>
  <w15:chartTrackingRefBased/>
  <w15:docId w15:val="{376C9F4C-064F-5146-A303-504B169B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5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5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7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7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7A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7A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7A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7A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F57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F57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57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F57AD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57A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57AD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57A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57A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57A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5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7A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5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7A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57A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7A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7A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7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57A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7AD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57A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Strong"/>
    <w:basedOn w:val="a0"/>
    <w:uiPriority w:val="22"/>
    <w:qFormat/>
    <w:rsid w:val="00F57A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3633</Characters>
  <Application>Microsoft Office Word</Application>
  <DocSecurity>0</DocSecurity>
  <Lines>67</Lines>
  <Paragraphs>22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2026-06-13T15:46:00Z</dcterms:created>
  <dcterms:modified xsi:type="dcterms:W3CDTF">2026-06-13T15:46:00Z</dcterms:modified>
</cp:coreProperties>
</file>