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21BDD" w14:textId="77777777" w:rsidR="00074490" w:rsidRPr="00074490" w:rsidRDefault="00074490" w:rsidP="00074490">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74490">
        <w:rPr>
          <w:rFonts w:ascii="Times New Roman" w:eastAsia="Times New Roman" w:hAnsi="Times New Roman" w:cs="Times New Roman"/>
          <w:b/>
          <w:bCs/>
          <w:kern w:val="0"/>
          <w:sz w:val="36"/>
          <w:szCs w:val="36"/>
          <w:lang w:val="en-US" w:eastAsia="el-GR"/>
          <w14:ligatures w14:val="none"/>
        </w:rPr>
        <w:t>Decision-Making Task</w:t>
      </w:r>
    </w:p>
    <w:p w14:paraId="3DD3BAB0"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The team must decide the safest immediate management plan for this deteriorating ICU trauma patient.</w:t>
      </w:r>
    </w:p>
    <w:p w14:paraId="7EADBDC3"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The central clinical question is:</w:t>
      </w:r>
    </w:p>
    <w:p w14:paraId="6A55DB26"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b/>
          <w:bCs/>
          <w:kern w:val="0"/>
          <w:lang w:val="en-US" w:eastAsia="el-GR"/>
          <w14:ligatures w14:val="none"/>
        </w:rPr>
        <w:t>Is the patient’s deterioration primarily hemorrhagic shock requiring fluids/blood, or neurogenic shock with respiratory failure requiring vasopressor escalation, airway control, consultant support, and rapid recognition of post-intubation tension pneumothorax?</w:t>
      </w:r>
    </w:p>
    <w:p w14:paraId="7AC51DA3"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 xml:space="preserve">The expected decision is to consider multiple causes of shock in trauma, but recognize that the main pattern is consistent with </w:t>
      </w:r>
      <w:r w:rsidRPr="00074490">
        <w:rPr>
          <w:rFonts w:ascii="Times New Roman" w:eastAsia="Times New Roman" w:hAnsi="Times New Roman" w:cs="Times New Roman"/>
          <w:b/>
          <w:bCs/>
          <w:kern w:val="0"/>
          <w:lang w:val="en-US" w:eastAsia="el-GR"/>
          <w14:ligatures w14:val="none"/>
        </w:rPr>
        <w:t>neurogenic shock</w:t>
      </w:r>
      <w:r w:rsidRPr="00074490">
        <w:rPr>
          <w:rFonts w:ascii="Times New Roman" w:eastAsia="Times New Roman" w:hAnsi="Times New Roman" w:cs="Times New Roman"/>
          <w:kern w:val="0"/>
          <w:lang w:val="en-US" w:eastAsia="el-GR"/>
          <w14:ligatures w14:val="none"/>
        </w:rPr>
        <w:t>: hypotension with bradycardia and warm extremities in the context of a thoracic spinal cord injury. The patient also has progressive respiratory failure from flail chest, pneumothoraces, rib fractures, and spinal cord injury. The team should escalate vasopressors, support bradycardia, assess for bleeding/obstructive causes, intubate with spinal precautions, and rapidly diagnose and decompress a left tension pneumothorax if post-intubation hypoxia and hypotension occur.</w:t>
      </w:r>
    </w:p>
    <w:p w14:paraId="770EF870" w14:textId="77777777" w:rsidR="00074490" w:rsidRPr="00074490" w:rsidRDefault="00074490" w:rsidP="0007449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74490">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6149"/>
      </w:tblGrid>
      <w:tr w:rsidR="00074490" w:rsidRPr="00074490" w14:paraId="513BF909" w14:textId="77777777">
        <w:trPr>
          <w:tblHeader/>
          <w:tblCellSpacing w:w="15" w:type="dxa"/>
        </w:trPr>
        <w:tc>
          <w:tcPr>
            <w:tcW w:w="0" w:type="auto"/>
            <w:vAlign w:val="center"/>
            <w:hideMark/>
          </w:tcPr>
          <w:p w14:paraId="145DD50E" w14:textId="77777777" w:rsidR="00074490" w:rsidRPr="00074490" w:rsidRDefault="00074490" w:rsidP="00074490">
            <w:pPr>
              <w:jc w:val="center"/>
              <w:rPr>
                <w:rFonts w:ascii="Times New Roman" w:eastAsia="Times New Roman" w:hAnsi="Times New Roman" w:cs="Times New Roman"/>
                <w:b/>
                <w:bCs/>
                <w:kern w:val="0"/>
                <w:lang w:eastAsia="el-GR"/>
                <w14:ligatures w14:val="none"/>
              </w:rPr>
            </w:pPr>
            <w:r w:rsidRPr="00074490">
              <w:rPr>
                <w:rFonts w:ascii="Times New Roman" w:eastAsia="Times New Roman" w:hAnsi="Times New Roman" w:cs="Times New Roman"/>
                <w:b/>
                <w:bCs/>
                <w:kern w:val="0"/>
                <w:lang w:eastAsia="el-GR"/>
                <w14:ligatures w14:val="none"/>
              </w:rPr>
              <w:t>Evaluation Point</w:t>
            </w:r>
          </w:p>
        </w:tc>
        <w:tc>
          <w:tcPr>
            <w:tcW w:w="0" w:type="auto"/>
            <w:vAlign w:val="center"/>
            <w:hideMark/>
          </w:tcPr>
          <w:p w14:paraId="6EC33101" w14:textId="77777777" w:rsidR="00074490" w:rsidRPr="00074490" w:rsidRDefault="00074490" w:rsidP="00074490">
            <w:pPr>
              <w:jc w:val="center"/>
              <w:rPr>
                <w:rFonts w:ascii="Times New Roman" w:eastAsia="Times New Roman" w:hAnsi="Times New Roman" w:cs="Times New Roman"/>
                <w:b/>
                <w:bCs/>
                <w:kern w:val="0"/>
                <w:lang w:eastAsia="el-GR"/>
                <w14:ligatures w14:val="none"/>
              </w:rPr>
            </w:pPr>
            <w:r w:rsidRPr="00074490">
              <w:rPr>
                <w:rFonts w:ascii="Times New Roman" w:eastAsia="Times New Roman" w:hAnsi="Times New Roman" w:cs="Times New Roman"/>
                <w:b/>
                <w:bCs/>
                <w:kern w:val="0"/>
                <w:lang w:eastAsia="el-GR"/>
                <w14:ligatures w14:val="none"/>
              </w:rPr>
              <w:t>Ground Truth</w:t>
            </w:r>
          </w:p>
        </w:tc>
      </w:tr>
      <w:tr w:rsidR="00074490" w:rsidRPr="00074490" w14:paraId="3FE8243C" w14:textId="77777777">
        <w:trPr>
          <w:tblCellSpacing w:w="15" w:type="dxa"/>
        </w:trPr>
        <w:tc>
          <w:tcPr>
            <w:tcW w:w="0" w:type="auto"/>
            <w:vAlign w:val="center"/>
            <w:hideMark/>
          </w:tcPr>
          <w:p w14:paraId="04CDA9E9"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Recognize critical deterioration</w:t>
            </w:r>
          </w:p>
        </w:tc>
        <w:tc>
          <w:tcPr>
            <w:tcW w:w="0" w:type="auto"/>
            <w:vAlign w:val="center"/>
            <w:hideMark/>
          </w:tcPr>
          <w:p w14:paraId="60FC08BD"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Patient is in respiratory distress with hypotension, bradycardia, and reduced GCS.</w:t>
            </w:r>
          </w:p>
        </w:tc>
      </w:tr>
      <w:tr w:rsidR="00074490" w:rsidRPr="00074490" w14:paraId="7FD36CAD" w14:textId="77777777">
        <w:trPr>
          <w:tblCellSpacing w:w="15" w:type="dxa"/>
        </w:trPr>
        <w:tc>
          <w:tcPr>
            <w:tcW w:w="0" w:type="auto"/>
            <w:vAlign w:val="center"/>
            <w:hideMark/>
          </w:tcPr>
          <w:p w14:paraId="47C2E903"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Consider differential for shock</w:t>
            </w:r>
          </w:p>
        </w:tc>
        <w:tc>
          <w:tcPr>
            <w:tcW w:w="0" w:type="auto"/>
            <w:vAlign w:val="center"/>
            <w:hideMark/>
          </w:tcPr>
          <w:p w14:paraId="1B72026A"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Consider hemorrhagic, neurogenic, obstructive, and other traumatic causes of shock.</w:t>
            </w:r>
          </w:p>
        </w:tc>
      </w:tr>
      <w:tr w:rsidR="00074490" w:rsidRPr="00074490" w14:paraId="17AD8921" w14:textId="77777777">
        <w:trPr>
          <w:tblCellSpacing w:w="15" w:type="dxa"/>
        </w:trPr>
        <w:tc>
          <w:tcPr>
            <w:tcW w:w="0" w:type="auto"/>
            <w:vAlign w:val="center"/>
            <w:hideMark/>
          </w:tcPr>
          <w:p w14:paraId="6CFD36AF"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Main shock diagnosis</w:t>
            </w:r>
          </w:p>
        </w:tc>
        <w:tc>
          <w:tcPr>
            <w:tcW w:w="0" w:type="auto"/>
            <w:vAlign w:val="center"/>
            <w:hideMark/>
          </w:tcPr>
          <w:p w14:paraId="4927D1EF"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Neurogenic shock is the main cause of hypotension.</w:t>
            </w:r>
          </w:p>
        </w:tc>
      </w:tr>
      <w:tr w:rsidR="00074490" w:rsidRPr="00074490" w14:paraId="64573AA8" w14:textId="77777777">
        <w:trPr>
          <w:tblCellSpacing w:w="15" w:type="dxa"/>
        </w:trPr>
        <w:tc>
          <w:tcPr>
            <w:tcW w:w="0" w:type="auto"/>
            <w:vAlign w:val="center"/>
            <w:hideMark/>
          </w:tcPr>
          <w:p w14:paraId="77727F84"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Neurogenic shock clues</w:t>
            </w:r>
          </w:p>
        </w:tc>
        <w:tc>
          <w:tcPr>
            <w:tcW w:w="0" w:type="auto"/>
            <w:vAlign w:val="center"/>
            <w:hideMark/>
          </w:tcPr>
          <w:p w14:paraId="7E92E48F"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Bradycardia, hypotension, warm extremities, and spinal cord injury above/around T6 support neurogenic shock.</w:t>
            </w:r>
          </w:p>
        </w:tc>
      </w:tr>
      <w:tr w:rsidR="00074490" w:rsidRPr="00074490" w14:paraId="762C13F9" w14:textId="77777777">
        <w:trPr>
          <w:tblCellSpacing w:w="15" w:type="dxa"/>
        </w:trPr>
        <w:tc>
          <w:tcPr>
            <w:tcW w:w="0" w:type="auto"/>
            <w:vAlign w:val="center"/>
            <w:hideMark/>
          </w:tcPr>
          <w:p w14:paraId="017230DA"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Rule out hemorrhage</w:t>
            </w:r>
          </w:p>
        </w:tc>
        <w:tc>
          <w:tcPr>
            <w:tcW w:w="0" w:type="auto"/>
            <w:vAlign w:val="center"/>
            <w:hideMark/>
          </w:tcPr>
          <w:p w14:paraId="14C8CB4D"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FAST/POCUS should be used to assess for intra-abdominal free fluid.</w:t>
            </w:r>
          </w:p>
        </w:tc>
      </w:tr>
      <w:tr w:rsidR="00074490" w:rsidRPr="00074490" w14:paraId="23E04FAB" w14:textId="77777777">
        <w:trPr>
          <w:tblCellSpacing w:w="15" w:type="dxa"/>
        </w:trPr>
        <w:tc>
          <w:tcPr>
            <w:tcW w:w="0" w:type="auto"/>
            <w:vAlign w:val="center"/>
            <w:hideMark/>
          </w:tcPr>
          <w:p w14:paraId="14073C58"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Rule out obstructive causes</w:t>
            </w:r>
          </w:p>
        </w:tc>
        <w:tc>
          <w:tcPr>
            <w:tcW w:w="0" w:type="auto"/>
            <w:vAlign w:val="center"/>
            <w:hideMark/>
          </w:tcPr>
          <w:p w14:paraId="74A2C805"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Assess for hemothorax/pneumothorax with POCUS or chest X-ray.</w:t>
            </w:r>
          </w:p>
        </w:tc>
      </w:tr>
      <w:tr w:rsidR="00074490" w:rsidRPr="00074490" w14:paraId="231059CD" w14:textId="77777777">
        <w:trPr>
          <w:tblCellSpacing w:w="15" w:type="dxa"/>
        </w:trPr>
        <w:tc>
          <w:tcPr>
            <w:tcW w:w="0" w:type="auto"/>
            <w:vAlign w:val="center"/>
            <w:hideMark/>
          </w:tcPr>
          <w:p w14:paraId="6F5D2384"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Expected initial POCUS</w:t>
            </w:r>
          </w:p>
        </w:tc>
        <w:tc>
          <w:tcPr>
            <w:tcW w:w="0" w:type="auto"/>
            <w:vAlign w:val="center"/>
            <w:hideMark/>
          </w:tcPr>
          <w:p w14:paraId="63287B55"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No pericardial effusion, good lung sliding bilaterally, and no intra-abdominal free fluid.</w:t>
            </w:r>
          </w:p>
        </w:tc>
      </w:tr>
      <w:tr w:rsidR="00074490" w:rsidRPr="00074490" w14:paraId="46824E89" w14:textId="77777777">
        <w:trPr>
          <w:tblCellSpacing w:w="15" w:type="dxa"/>
        </w:trPr>
        <w:tc>
          <w:tcPr>
            <w:tcW w:w="0" w:type="auto"/>
            <w:vAlign w:val="center"/>
            <w:hideMark/>
          </w:tcPr>
          <w:p w14:paraId="4551D2DB"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Fluid/blood response</w:t>
            </w:r>
          </w:p>
        </w:tc>
        <w:tc>
          <w:tcPr>
            <w:tcW w:w="0" w:type="auto"/>
            <w:vAlign w:val="center"/>
            <w:hideMark/>
          </w:tcPr>
          <w:p w14:paraId="6F12FD0A"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IV bolus or blood transfusion gives no meaningful response.</w:t>
            </w:r>
          </w:p>
        </w:tc>
      </w:tr>
      <w:tr w:rsidR="00074490" w:rsidRPr="00074490" w14:paraId="0360809D" w14:textId="77777777">
        <w:trPr>
          <w:tblCellSpacing w:w="15" w:type="dxa"/>
        </w:trPr>
        <w:tc>
          <w:tcPr>
            <w:tcW w:w="0" w:type="auto"/>
            <w:vAlign w:val="center"/>
            <w:hideMark/>
          </w:tcPr>
          <w:p w14:paraId="100BB8D0"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Vasopressor management</w:t>
            </w:r>
          </w:p>
        </w:tc>
        <w:tc>
          <w:tcPr>
            <w:tcW w:w="0" w:type="auto"/>
            <w:vAlign w:val="center"/>
            <w:hideMark/>
          </w:tcPr>
          <w:p w14:paraId="2CBDAB47"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Increase norepinephrine.</w:t>
            </w:r>
          </w:p>
        </w:tc>
      </w:tr>
      <w:tr w:rsidR="00074490" w:rsidRPr="00074490" w14:paraId="4177AEEE" w14:textId="77777777">
        <w:trPr>
          <w:tblCellSpacing w:w="15" w:type="dxa"/>
        </w:trPr>
        <w:tc>
          <w:tcPr>
            <w:tcW w:w="0" w:type="auto"/>
            <w:vAlign w:val="center"/>
            <w:hideMark/>
          </w:tcPr>
          <w:p w14:paraId="2832B4E5"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Add second vasopressor</w:t>
            </w:r>
          </w:p>
        </w:tc>
        <w:tc>
          <w:tcPr>
            <w:tcW w:w="0" w:type="auto"/>
            <w:vAlign w:val="center"/>
            <w:hideMark/>
          </w:tcPr>
          <w:p w14:paraId="3C526EF6"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A second vasopressor should be added to achieve MAP above 65.</w:t>
            </w:r>
          </w:p>
        </w:tc>
      </w:tr>
      <w:tr w:rsidR="00074490" w:rsidRPr="00074490" w14:paraId="275F3A4D" w14:textId="77777777">
        <w:trPr>
          <w:tblCellSpacing w:w="15" w:type="dxa"/>
        </w:trPr>
        <w:tc>
          <w:tcPr>
            <w:tcW w:w="0" w:type="auto"/>
            <w:vAlign w:val="center"/>
            <w:hideMark/>
          </w:tcPr>
          <w:p w14:paraId="277EB8F4"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Bradycardia management</w:t>
            </w:r>
          </w:p>
        </w:tc>
        <w:tc>
          <w:tcPr>
            <w:tcW w:w="0" w:type="auto"/>
            <w:vAlign w:val="center"/>
            <w:hideMark/>
          </w:tcPr>
          <w:p w14:paraId="438A2FF9" w14:textId="77777777" w:rsidR="00074490" w:rsidRPr="00074490" w:rsidRDefault="00074490" w:rsidP="00074490">
            <w:pPr>
              <w:rPr>
                <w:rFonts w:ascii="Times New Roman" w:eastAsia="Times New Roman" w:hAnsi="Times New Roman" w:cs="Times New Roman"/>
                <w:kern w:val="0"/>
                <w:lang w:val="en-US" w:eastAsia="el-GR"/>
                <w14:ligatures w14:val="none"/>
              </w:rPr>
            </w:pPr>
            <w:r w:rsidRPr="00074490">
              <w:rPr>
                <w:rFonts w:ascii="Times New Roman" w:eastAsia="Times New Roman" w:hAnsi="Times New Roman" w:cs="Times New Roman"/>
                <w:kern w:val="0"/>
                <w:lang w:val="en-US" w:eastAsia="el-GR"/>
                <w14:ligatures w14:val="none"/>
              </w:rPr>
              <w:t>Add epinephrine for bradycardia; HR improves to about 65.</w:t>
            </w:r>
          </w:p>
        </w:tc>
      </w:tr>
      <w:tr w:rsidR="00074490" w:rsidRPr="00074490" w14:paraId="14A445FA" w14:textId="77777777">
        <w:trPr>
          <w:tblCellSpacing w:w="15" w:type="dxa"/>
        </w:trPr>
        <w:tc>
          <w:tcPr>
            <w:tcW w:w="0" w:type="auto"/>
            <w:vAlign w:val="center"/>
            <w:hideMark/>
          </w:tcPr>
          <w:p w14:paraId="0B4C6375"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lastRenderedPageBreak/>
              <w:t>Hemodynamic target</w:t>
            </w:r>
          </w:p>
        </w:tc>
        <w:tc>
          <w:tcPr>
            <w:tcW w:w="0" w:type="auto"/>
            <w:vAlign w:val="center"/>
            <w:hideMark/>
          </w:tcPr>
          <w:p w14:paraId="0C903DEC"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MAP should be supported; in spinal cord injury, higher MAP goals may be needed to preserve cord perfusion.</w:t>
            </w:r>
          </w:p>
        </w:tc>
      </w:tr>
      <w:tr w:rsidR="00074490" w:rsidRPr="00074490" w14:paraId="132BBE7E" w14:textId="77777777">
        <w:trPr>
          <w:tblCellSpacing w:w="15" w:type="dxa"/>
        </w:trPr>
        <w:tc>
          <w:tcPr>
            <w:tcW w:w="0" w:type="auto"/>
            <w:vAlign w:val="center"/>
            <w:hideMark/>
          </w:tcPr>
          <w:p w14:paraId="7D1D46FB"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Recognize respiratory failure</w:t>
            </w:r>
          </w:p>
        </w:tc>
        <w:tc>
          <w:tcPr>
            <w:tcW w:w="0" w:type="auto"/>
            <w:vAlign w:val="center"/>
            <w:hideMark/>
          </w:tcPr>
          <w:p w14:paraId="6739101B"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Despite improved BP, patient remains confused and in respiratory distress.</w:t>
            </w:r>
          </w:p>
        </w:tc>
      </w:tr>
      <w:tr w:rsidR="00074490" w:rsidRPr="00074490" w14:paraId="60F06FC4" w14:textId="77777777">
        <w:trPr>
          <w:tblCellSpacing w:w="15" w:type="dxa"/>
        </w:trPr>
        <w:tc>
          <w:tcPr>
            <w:tcW w:w="0" w:type="auto"/>
            <w:vAlign w:val="center"/>
            <w:hideMark/>
          </w:tcPr>
          <w:p w14:paraId="1037A3B8"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Non-invasive support</w:t>
            </w:r>
          </w:p>
        </w:tc>
        <w:tc>
          <w:tcPr>
            <w:tcW w:w="0" w:type="auto"/>
            <w:vAlign w:val="center"/>
            <w:hideMark/>
          </w:tcPr>
          <w:p w14:paraId="4190894F"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A trial of NIPPV may be considered, but patient becomes agitated and removes device.</w:t>
            </w:r>
          </w:p>
        </w:tc>
      </w:tr>
      <w:tr w:rsidR="00074490" w:rsidRPr="00074490" w14:paraId="717D37AF" w14:textId="77777777">
        <w:trPr>
          <w:tblCellSpacing w:w="15" w:type="dxa"/>
        </w:trPr>
        <w:tc>
          <w:tcPr>
            <w:tcW w:w="0" w:type="auto"/>
            <w:vAlign w:val="center"/>
            <w:hideMark/>
          </w:tcPr>
          <w:p w14:paraId="02FCAAC4"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Airway decision</w:t>
            </w:r>
          </w:p>
        </w:tc>
        <w:tc>
          <w:tcPr>
            <w:tcW w:w="0" w:type="auto"/>
            <w:vAlign w:val="center"/>
            <w:hideMark/>
          </w:tcPr>
          <w:p w14:paraId="322FDEA5"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Recognize need for endotracheal intubation.</w:t>
            </w:r>
          </w:p>
        </w:tc>
      </w:tr>
      <w:tr w:rsidR="00074490" w:rsidRPr="00074490" w14:paraId="44B6B335" w14:textId="77777777">
        <w:trPr>
          <w:tblCellSpacing w:w="15" w:type="dxa"/>
        </w:trPr>
        <w:tc>
          <w:tcPr>
            <w:tcW w:w="0" w:type="auto"/>
            <w:vAlign w:val="center"/>
            <w:hideMark/>
          </w:tcPr>
          <w:p w14:paraId="6BCE19F3"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Airway planning</w:t>
            </w:r>
          </w:p>
        </w:tc>
        <w:tc>
          <w:tcPr>
            <w:tcW w:w="0" w:type="auto"/>
            <w:vAlign w:val="center"/>
            <w:hideMark/>
          </w:tcPr>
          <w:p w14:paraId="5CC67656"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Vocalize airway plan and contingencies before intubation.</w:t>
            </w:r>
          </w:p>
        </w:tc>
      </w:tr>
      <w:tr w:rsidR="00074490" w:rsidRPr="00074490" w14:paraId="4B328C4D" w14:textId="77777777">
        <w:trPr>
          <w:tblCellSpacing w:w="15" w:type="dxa"/>
        </w:trPr>
        <w:tc>
          <w:tcPr>
            <w:tcW w:w="0" w:type="auto"/>
            <w:vAlign w:val="center"/>
            <w:hideMark/>
          </w:tcPr>
          <w:p w14:paraId="3005DCA9"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Spinal precautions</w:t>
            </w:r>
          </w:p>
        </w:tc>
        <w:tc>
          <w:tcPr>
            <w:tcW w:w="0" w:type="auto"/>
            <w:vAlign w:val="center"/>
            <w:hideMark/>
          </w:tcPr>
          <w:p w14:paraId="6BEF0227"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Maintain spinal precautions during intubation.</w:t>
            </w:r>
          </w:p>
        </w:tc>
      </w:tr>
      <w:tr w:rsidR="00074490" w:rsidRPr="00074490" w14:paraId="5DABEF08" w14:textId="77777777">
        <w:trPr>
          <w:tblCellSpacing w:w="15" w:type="dxa"/>
        </w:trPr>
        <w:tc>
          <w:tcPr>
            <w:tcW w:w="0" w:type="auto"/>
            <w:vAlign w:val="center"/>
            <w:hideMark/>
          </w:tcPr>
          <w:p w14:paraId="6D3D42A8"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Consultant help</w:t>
            </w:r>
          </w:p>
        </w:tc>
        <w:tc>
          <w:tcPr>
            <w:tcW w:w="0" w:type="auto"/>
            <w:vAlign w:val="center"/>
            <w:hideMark/>
          </w:tcPr>
          <w:p w14:paraId="62331B51"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Call spine/trauma/RT or other consultants because the patient is deteriorating and needs definitive management.</w:t>
            </w:r>
          </w:p>
        </w:tc>
      </w:tr>
      <w:tr w:rsidR="00074490" w:rsidRPr="00074490" w14:paraId="687AB702" w14:textId="77777777">
        <w:trPr>
          <w:tblCellSpacing w:w="15" w:type="dxa"/>
        </w:trPr>
        <w:tc>
          <w:tcPr>
            <w:tcW w:w="0" w:type="auto"/>
            <w:vAlign w:val="center"/>
            <w:hideMark/>
          </w:tcPr>
          <w:p w14:paraId="27FDE25F"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Post-intubation deterioration</w:t>
            </w:r>
          </w:p>
        </w:tc>
        <w:tc>
          <w:tcPr>
            <w:tcW w:w="0" w:type="auto"/>
            <w:vAlign w:val="center"/>
            <w:hideMark/>
          </w:tcPr>
          <w:p w14:paraId="51E20F88"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Two minutes after intubation, BP drops to 60/40 and O2 saturation to 80% on 100% FiO2.</w:t>
            </w:r>
          </w:p>
        </w:tc>
      </w:tr>
      <w:tr w:rsidR="00074490" w:rsidRPr="00074490" w14:paraId="4C81828E" w14:textId="77777777">
        <w:trPr>
          <w:tblCellSpacing w:w="15" w:type="dxa"/>
        </w:trPr>
        <w:tc>
          <w:tcPr>
            <w:tcW w:w="0" w:type="auto"/>
            <w:vAlign w:val="center"/>
            <w:hideMark/>
          </w:tcPr>
          <w:p w14:paraId="46CBC96D"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Post-intubation differential</w:t>
            </w:r>
          </w:p>
        </w:tc>
        <w:tc>
          <w:tcPr>
            <w:tcW w:w="0" w:type="auto"/>
            <w:vAlign w:val="center"/>
            <w:hideMark/>
          </w:tcPr>
          <w:p w14:paraId="12FB448D"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Consider DOPES: tube displacement, obstruction, patient causes such as pneumothorax, equipment failure, stacked breaths.</w:t>
            </w:r>
          </w:p>
        </w:tc>
      </w:tr>
      <w:tr w:rsidR="00074490" w:rsidRPr="00074490" w14:paraId="08980E79" w14:textId="77777777">
        <w:trPr>
          <w:tblCellSpacing w:w="15" w:type="dxa"/>
        </w:trPr>
        <w:tc>
          <w:tcPr>
            <w:tcW w:w="0" w:type="auto"/>
            <w:vAlign w:val="center"/>
            <w:hideMark/>
          </w:tcPr>
          <w:p w14:paraId="1F7A574E"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Immediate post-intubation action</w:t>
            </w:r>
          </w:p>
        </w:tc>
        <w:tc>
          <w:tcPr>
            <w:tcW w:w="0" w:type="auto"/>
            <w:vAlign w:val="center"/>
            <w:hideMark/>
          </w:tcPr>
          <w:p w14:paraId="33741D62"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Disconnect ET tube from ventilator and manually ventilate.</w:t>
            </w:r>
          </w:p>
        </w:tc>
      </w:tr>
      <w:tr w:rsidR="00074490" w:rsidRPr="00074490" w14:paraId="1FE44510" w14:textId="77777777">
        <w:trPr>
          <w:tblCellSpacing w:w="15" w:type="dxa"/>
        </w:trPr>
        <w:tc>
          <w:tcPr>
            <w:tcW w:w="0" w:type="auto"/>
            <w:vAlign w:val="center"/>
            <w:hideMark/>
          </w:tcPr>
          <w:p w14:paraId="4C6FF194"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Manual ventilation finding</w:t>
            </w:r>
          </w:p>
        </w:tc>
        <w:tc>
          <w:tcPr>
            <w:tcW w:w="0" w:type="auto"/>
            <w:vAlign w:val="center"/>
            <w:hideMark/>
          </w:tcPr>
          <w:p w14:paraId="7D938863"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Manual ventilation is easy, but chest rise is unequal.</w:t>
            </w:r>
          </w:p>
        </w:tc>
      </w:tr>
      <w:tr w:rsidR="00074490" w:rsidRPr="00074490" w14:paraId="255846FD" w14:textId="77777777">
        <w:trPr>
          <w:tblCellSpacing w:w="15" w:type="dxa"/>
        </w:trPr>
        <w:tc>
          <w:tcPr>
            <w:tcW w:w="0" w:type="auto"/>
            <w:vAlign w:val="center"/>
            <w:hideMark/>
          </w:tcPr>
          <w:p w14:paraId="133A3D79"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Key diagnosis</w:t>
            </w:r>
          </w:p>
        </w:tc>
        <w:tc>
          <w:tcPr>
            <w:tcW w:w="0" w:type="auto"/>
            <w:vAlign w:val="center"/>
            <w:hideMark/>
          </w:tcPr>
          <w:p w14:paraId="3C550973"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Diagnose left tension pneumothorax.</w:t>
            </w:r>
          </w:p>
        </w:tc>
      </w:tr>
      <w:tr w:rsidR="00074490" w:rsidRPr="00074490" w14:paraId="4FD25B90" w14:textId="77777777">
        <w:trPr>
          <w:tblCellSpacing w:w="15" w:type="dxa"/>
        </w:trPr>
        <w:tc>
          <w:tcPr>
            <w:tcW w:w="0" w:type="auto"/>
            <w:vAlign w:val="center"/>
            <w:hideMark/>
          </w:tcPr>
          <w:p w14:paraId="46A812F4"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Best diagnostic method</w:t>
            </w:r>
          </w:p>
        </w:tc>
        <w:tc>
          <w:tcPr>
            <w:tcW w:w="0" w:type="auto"/>
            <w:vAlign w:val="center"/>
            <w:hideMark/>
          </w:tcPr>
          <w:p w14:paraId="38EBF993"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Clinical exam or preferably POCUS; POCUS shows absent lung sliding on the left.</w:t>
            </w:r>
          </w:p>
        </w:tc>
      </w:tr>
      <w:tr w:rsidR="00074490" w:rsidRPr="00074490" w14:paraId="1FED9936" w14:textId="77777777">
        <w:trPr>
          <w:tblCellSpacing w:w="15" w:type="dxa"/>
        </w:trPr>
        <w:tc>
          <w:tcPr>
            <w:tcW w:w="0" w:type="auto"/>
            <w:vAlign w:val="center"/>
            <w:hideMark/>
          </w:tcPr>
          <w:p w14:paraId="540F7103"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Required treatment</w:t>
            </w:r>
          </w:p>
        </w:tc>
        <w:tc>
          <w:tcPr>
            <w:tcW w:w="0" w:type="auto"/>
            <w:vAlign w:val="center"/>
            <w:hideMark/>
          </w:tcPr>
          <w:p w14:paraId="6F6F67CA"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Treat immediately with needle decompression, finger thoracostomy, or chest tube insertion.</w:t>
            </w:r>
          </w:p>
        </w:tc>
      </w:tr>
      <w:tr w:rsidR="00074490" w:rsidRPr="00074490" w14:paraId="24AD8929" w14:textId="77777777">
        <w:trPr>
          <w:tblCellSpacing w:w="15" w:type="dxa"/>
        </w:trPr>
        <w:tc>
          <w:tcPr>
            <w:tcW w:w="0" w:type="auto"/>
            <w:vAlign w:val="center"/>
            <w:hideMark/>
          </w:tcPr>
          <w:p w14:paraId="791B6496"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Do not wait for CXR</w:t>
            </w:r>
          </w:p>
        </w:tc>
        <w:tc>
          <w:tcPr>
            <w:tcW w:w="0" w:type="auto"/>
            <w:vAlign w:val="center"/>
            <w:hideMark/>
          </w:tcPr>
          <w:p w14:paraId="2AEEC2A2"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Waiting for stat chest X-ray causes progressive hypoxia and PEA arrest.</w:t>
            </w:r>
          </w:p>
        </w:tc>
      </w:tr>
      <w:tr w:rsidR="00074490" w:rsidRPr="00074490" w14:paraId="768D399B" w14:textId="77777777">
        <w:trPr>
          <w:tblCellSpacing w:w="15" w:type="dxa"/>
        </w:trPr>
        <w:tc>
          <w:tcPr>
            <w:tcW w:w="0" w:type="auto"/>
            <w:vAlign w:val="center"/>
            <w:hideMark/>
          </w:tcPr>
          <w:p w14:paraId="3073A83C"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Successful intervention</w:t>
            </w:r>
          </w:p>
        </w:tc>
        <w:tc>
          <w:tcPr>
            <w:tcW w:w="0" w:type="auto"/>
            <w:vAlign w:val="center"/>
            <w:hideMark/>
          </w:tcPr>
          <w:p w14:paraId="6009E46E"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Chest decompression normalizes oxygen saturation and blood pressure.</w:t>
            </w:r>
          </w:p>
        </w:tc>
      </w:tr>
      <w:tr w:rsidR="00074490" w:rsidRPr="00074490" w14:paraId="37772F42" w14:textId="77777777">
        <w:trPr>
          <w:tblCellSpacing w:w="15" w:type="dxa"/>
        </w:trPr>
        <w:tc>
          <w:tcPr>
            <w:tcW w:w="0" w:type="auto"/>
            <w:vAlign w:val="center"/>
            <w:hideMark/>
          </w:tcPr>
          <w:p w14:paraId="22E7F3DC"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Failure point</w:t>
            </w:r>
          </w:p>
        </w:tc>
        <w:tc>
          <w:tcPr>
            <w:tcW w:w="0" w:type="auto"/>
            <w:vAlign w:val="center"/>
            <w:hideMark/>
          </w:tcPr>
          <w:p w14:paraId="3782FED6" w14:textId="77777777" w:rsidR="00074490" w:rsidRPr="00074490" w:rsidRDefault="00074490" w:rsidP="00074490">
            <w:pPr>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No intervention except decompression of the chest improves the patient’s status.</w:t>
            </w:r>
          </w:p>
        </w:tc>
      </w:tr>
    </w:tbl>
    <w:p w14:paraId="725CD6CF" w14:textId="77777777" w:rsidR="00074490" w:rsidRPr="00074490" w:rsidRDefault="00074490" w:rsidP="0007449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74490">
        <w:rPr>
          <w:rFonts w:ascii="Times New Roman" w:eastAsia="Times New Roman" w:hAnsi="Times New Roman" w:cs="Times New Roman"/>
          <w:b/>
          <w:bCs/>
          <w:kern w:val="0"/>
          <w:sz w:val="36"/>
          <w:szCs w:val="36"/>
          <w:lang w:eastAsia="el-GR"/>
          <w14:ligatures w14:val="none"/>
        </w:rPr>
        <w:t>Correct Final Answer / Expected Clinical Decision</w:t>
      </w:r>
    </w:p>
    <w:p w14:paraId="6EA9A940"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The correct decision is:</w:t>
      </w:r>
    </w:p>
    <w:p w14:paraId="7DCEE539"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b/>
          <w:bCs/>
          <w:kern w:val="0"/>
          <w:lang w:eastAsia="el-GR"/>
          <w14:ligatures w14:val="none"/>
        </w:rPr>
        <w:t>Treat the initial hypotension as most consistent with neurogenic shock after excluding hemorrhagic and obstructive causes. Escalate norepinephrine, add a second vasopressor, and use epinephrine to support bradycardia. At the same time, recognize progressive mixed respiratory failure from spinal cord injury, flail chest, and pneumothorax risk. Prepare for endotracheal intubation with spinal precautions and consultant support. After intubation, if sudden hypoxia and hypotension occur, immediately evaluate using a structured post-intubation deterioration approach and diagnose left tension pneumothorax. Do not wait for chest X-ray; decompress the chest immediately.</w:t>
      </w:r>
    </w:p>
    <w:p w14:paraId="053CA7FB" w14:textId="77777777" w:rsidR="00074490" w:rsidRPr="00074490" w:rsidRDefault="00074490" w:rsidP="0007449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74490">
        <w:rPr>
          <w:rFonts w:ascii="Times New Roman" w:eastAsia="Times New Roman" w:hAnsi="Times New Roman" w:cs="Times New Roman"/>
          <w:b/>
          <w:bCs/>
          <w:kern w:val="0"/>
          <w:sz w:val="36"/>
          <w:szCs w:val="36"/>
          <w:lang w:eastAsia="el-GR"/>
          <w14:ligatures w14:val="none"/>
        </w:rPr>
        <w:lastRenderedPageBreak/>
        <w:t>Key Ground Truth Outcome</w:t>
      </w:r>
    </w:p>
    <w:p w14:paraId="03050DCC" w14:textId="77777777" w:rsidR="00074490" w:rsidRPr="00074490" w:rsidRDefault="00074490" w:rsidP="00074490">
      <w:pPr>
        <w:spacing w:before="100" w:beforeAutospacing="1" w:after="100" w:afterAutospacing="1"/>
        <w:rPr>
          <w:rFonts w:ascii="Times New Roman" w:eastAsia="Times New Roman" w:hAnsi="Times New Roman" w:cs="Times New Roman"/>
          <w:kern w:val="0"/>
          <w:lang w:eastAsia="el-GR"/>
          <w14:ligatures w14:val="none"/>
        </w:rPr>
      </w:pPr>
      <w:r w:rsidRPr="00074490">
        <w:rPr>
          <w:rFonts w:ascii="Times New Roman" w:eastAsia="Times New Roman" w:hAnsi="Times New Roman" w:cs="Times New Roman"/>
          <w:kern w:val="0"/>
          <w:lang w:eastAsia="el-GR"/>
          <w14:ligatures w14:val="none"/>
        </w:rPr>
        <w:t xml:space="preserve">The expected endpoint is that the team achieves </w:t>
      </w:r>
      <w:r w:rsidRPr="00074490">
        <w:rPr>
          <w:rFonts w:ascii="Times New Roman" w:eastAsia="Times New Roman" w:hAnsi="Times New Roman" w:cs="Times New Roman"/>
          <w:b/>
          <w:bCs/>
          <w:kern w:val="0"/>
          <w:lang w:eastAsia="el-GR"/>
          <w14:ligatures w14:val="none"/>
        </w:rPr>
        <w:t>MAP &gt;65</w:t>
      </w:r>
      <w:r w:rsidRPr="00074490">
        <w:rPr>
          <w:rFonts w:ascii="Times New Roman" w:eastAsia="Times New Roman" w:hAnsi="Times New Roman" w:cs="Times New Roman"/>
          <w:kern w:val="0"/>
          <w:lang w:eastAsia="el-GR"/>
          <w14:ligatures w14:val="none"/>
        </w:rPr>
        <w:t xml:space="preserve">, improves the heart rate to about </w:t>
      </w:r>
      <w:r w:rsidRPr="00074490">
        <w:rPr>
          <w:rFonts w:ascii="Times New Roman" w:eastAsia="Times New Roman" w:hAnsi="Times New Roman" w:cs="Times New Roman"/>
          <w:b/>
          <w:bCs/>
          <w:kern w:val="0"/>
          <w:lang w:eastAsia="el-GR"/>
          <w14:ligatures w14:val="none"/>
        </w:rPr>
        <w:t>65</w:t>
      </w:r>
      <w:r w:rsidRPr="00074490">
        <w:rPr>
          <w:rFonts w:ascii="Times New Roman" w:eastAsia="Times New Roman" w:hAnsi="Times New Roman" w:cs="Times New Roman"/>
          <w:kern w:val="0"/>
          <w:lang w:eastAsia="el-GR"/>
          <w14:ligatures w14:val="none"/>
        </w:rPr>
        <w:t xml:space="preserve"> with epinephrine, recognizes ongoing respiratory failure, performs </w:t>
      </w:r>
      <w:r w:rsidRPr="00074490">
        <w:rPr>
          <w:rFonts w:ascii="Times New Roman" w:eastAsia="Times New Roman" w:hAnsi="Times New Roman" w:cs="Times New Roman"/>
          <w:b/>
          <w:bCs/>
          <w:kern w:val="0"/>
          <w:lang w:eastAsia="el-GR"/>
          <w14:ligatures w14:val="none"/>
        </w:rPr>
        <w:t>endotracheal intubation with spinal precautions</w:t>
      </w:r>
      <w:r w:rsidRPr="00074490">
        <w:rPr>
          <w:rFonts w:ascii="Times New Roman" w:eastAsia="Times New Roman" w:hAnsi="Times New Roman" w:cs="Times New Roman"/>
          <w:kern w:val="0"/>
          <w:lang w:eastAsia="el-GR"/>
          <w14:ligatures w14:val="none"/>
        </w:rPr>
        <w:t xml:space="preserve">, identifies post-intubation </w:t>
      </w:r>
      <w:r w:rsidRPr="00074490">
        <w:rPr>
          <w:rFonts w:ascii="Times New Roman" w:eastAsia="Times New Roman" w:hAnsi="Times New Roman" w:cs="Times New Roman"/>
          <w:b/>
          <w:bCs/>
          <w:kern w:val="0"/>
          <w:lang w:eastAsia="el-GR"/>
          <w14:ligatures w14:val="none"/>
        </w:rPr>
        <w:t>left tension pneumothorax</w:t>
      </w:r>
      <w:r w:rsidRPr="00074490">
        <w:rPr>
          <w:rFonts w:ascii="Times New Roman" w:eastAsia="Times New Roman" w:hAnsi="Times New Roman" w:cs="Times New Roman"/>
          <w:kern w:val="0"/>
          <w:lang w:eastAsia="el-GR"/>
          <w14:ligatures w14:val="none"/>
        </w:rPr>
        <w:t xml:space="preserve">, and performs immediate </w:t>
      </w:r>
      <w:r w:rsidRPr="00074490">
        <w:rPr>
          <w:rFonts w:ascii="Times New Roman" w:eastAsia="Times New Roman" w:hAnsi="Times New Roman" w:cs="Times New Roman"/>
          <w:b/>
          <w:bCs/>
          <w:kern w:val="0"/>
          <w:lang w:eastAsia="el-GR"/>
          <w14:ligatures w14:val="none"/>
        </w:rPr>
        <w:t>needle decompression, finger thoracostomy, or chest tube insertion</w:t>
      </w:r>
      <w:r w:rsidRPr="00074490">
        <w:rPr>
          <w:rFonts w:ascii="Times New Roman" w:eastAsia="Times New Roman" w:hAnsi="Times New Roman" w:cs="Times New Roman"/>
          <w:kern w:val="0"/>
          <w:lang w:eastAsia="el-GR"/>
          <w14:ligatures w14:val="none"/>
        </w:rPr>
        <w:t>, resulting in normalization of oxygen saturation and blood pressure.</w:t>
      </w:r>
    </w:p>
    <w:p w14:paraId="6AC310AB"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90"/>
    <w:rsid w:val="00074490"/>
    <w:rsid w:val="000F1CC1"/>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2657921"/>
  <w15:chartTrackingRefBased/>
  <w15:docId w15:val="{59295A3B-B9BE-D544-A83F-1CE9DF90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74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74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744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744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7449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7449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7449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7449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7449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07449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7449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7449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7449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7449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7449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74490"/>
    <w:rPr>
      <w:rFonts w:eastAsiaTheme="majorEastAsia" w:cstheme="majorBidi"/>
      <w:color w:val="272727" w:themeColor="text1" w:themeTint="D8"/>
    </w:rPr>
  </w:style>
  <w:style w:type="paragraph" w:styleId="a3">
    <w:name w:val="Title"/>
    <w:basedOn w:val="a"/>
    <w:next w:val="a"/>
    <w:link w:val="Char"/>
    <w:uiPriority w:val="10"/>
    <w:qFormat/>
    <w:rsid w:val="0007449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744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449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7449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74490"/>
    <w:pPr>
      <w:spacing w:before="160" w:after="160"/>
      <w:jc w:val="center"/>
    </w:pPr>
    <w:rPr>
      <w:i/>
      <w:iCs/>
      <w:color w:val="404040" w:themeColor="text1" w:themeTint="BF"/>
    </w:rPr>
  </w:style>
  <w:style w:type="character" w:customStyle="1" w:styleId="Char1">
    <w:name w:val="Απόσπασμα Char"/>
    <w:basedOn w:val="a0"/>
    <w:link w:val="a5"/>
    <w:uiPriority w:val="29"/>
    <w:rsid w:val="00074490"/>
    <w:rPr>
      <w:i/>
      <w:iCs/>
      <w:color w:val="404040" w:themeColor="text1" w:themeTint="BF"/>
    </w:rPr>
  </w:style>
  <w:style w:type="paragraph" w:styleId="a6">
    <w:name w:val="List Paragraph"/>
    <w:basedOn w:val="a"/>
    <w:uiPriority w:val="34"/>
    <w:qFormat/>
    <w:rsid w:val="00074490"/>
    <w:pPr>
      <w:ind w:left="720"/>
      <w:contextualSpacing/>
    </w:pPr>
  </w:style>
  <w:style w:type="character" w:styleId="a7">
    <w:name w:val="Intense Emphasis"/>
    <w:basedOn w:val="a0"/>
    <w:uiPriority w:val="21"/>
    <w:qFormat/>
    <w:rsid w:val="00074490"/>
    <w:rPr>
      <w:i/>
      <w:iCs/>
      <w:color w:val="0F4761" w:themeColor="accent1" w:themeShade="BF"/>
    </w:rPr>
  </w:style>
  <w:style w:type="paragraph" w:styleId="a8">
    <w:name w:val="Intense Quote"/>
    <w:basedOn w:val="a"/>
    <w:next w:val="a"/>
    <w:link w:val="Char2"/>
    <w:uiPriority w:val="30"/>
    <w:qFormat/>
    <w:rsid w:val="00074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74490"/>
    <w:rPr>
      <w:i/>
      <w:iCs/>
      <w:color w:val="0F4761" w:themeColor="accent1" w:themeShade="BF"/>
    </w:rPr>
  </w:style>
  <w:style w:type="character" w:styleId="a9">
    <w:name w:val="Intense Reference"/>
    <w:basedOn w:val="a0"/>
    <w:uiPriority w:val="32"/>
    <w:qFormat/>
    <w:rsid w:val="00074490"/>
    <w:rPr>
      <w:b/>
      <w:bCs/>
      <w:smallCaps/>
      <w:color w:val="0F4761" w:themeColor="accent1" w:themeShade="BF"/>
      <w:spacing w:val="5"/>
    </w:rPr>
  </w:style>
  <w:style w:type="paragraph" w:styleId="Web">
    <w:name w:val="Normal (Web)"/>
    <w:basedOn w:val="a"/>
    <w:uiPriority w:val="99"/>
    <w:semiHidden/>
    <w:unhideWhenUsed/>
    <w:rsid w:val="00074490"/>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744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4286</Characters>
  <Application>Microsoft Office Word</Application>
  <DocSecurity>0</DocSecurity>
  <Lines>75</Lines>
  <Paragraphs>27</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2026-06-13T14:41:00Z</dcterms:created>
  <dcterms:modified xsi:type="dcterms:W3CDTF">2026-06-13T14:42:00Z</dcterms:modified>
</cp:coreProperties>
</file>