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8FB9"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F75FC">
        <w:rPr>
          <w:rFonts w:ascii="Times New Roman" w:eastAsia="Times New Roman" w:hAnsi="Times New Roman" w:cs="Times New Roman"/>
          <w:b/>
          <w:bCs/>
          <w:kern w:val="36"/>
          <w:sz w:val="48"/>
          <w:szCs w:val="48"/>
          <w:lang w:val="en-US" w:eastAsia="el-GR"/>
          <w14:ligatures w14:val="none"/>
        </w:rPr>
        <w:t>Decision Support System: Thoracic Spinal Cord Trauma, Respiratory Failure, and Shock</w:t>
      </w:r>
    </w:p>
    <w:p w14:paraId="16745EF0"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F75FC">
        <w:rPr>
          <w:rFonts w:ascii="Times New Roman" w:eastAsia="Times New Roman" w:hAnsi="Times New Roman" w:cs="Times New Roman"/>
          <w:b/>
          <w:bCs/>
          <w:kern w:val="0"/>
          <w:sz w:val="36"/>
          <w:szCs w:val="36"/>
          <w:lang w:val="en-US" w:eastAsia="el-GR"/>
          <w14:ligatures w14:val="none"/>
        </w:rPr>
        <w:t>1. Case Summary</w:t>
      </w:r>
    </w:p>
    <w:p w14:paraId="096ACF8B"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Aisha Tahan is a 46-year-old female ICU trauma patient after major blunt trauma. She has bilateral rib fractures with right-sided flail chest, right pneumothorax with chest tube already inserted, occult left pneumothorax, grade 2 liver laceration, and unstable T5–T6 spine fractures causing about 50% reduction of the spinal canal diameter. She is awaiting operative spinal stabilization later the same day. </w:t>
      </w:r>
    </w:p>
    <w:p w14:paraId="61A8BD5E"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She has now deteriorated with increasing work of breathing, fluctuating consciousness, rising vasopressor requirement, bradycardia, hypotension despite norepinephrine, respiratory distress, and GCS 9. The decision is whether this is mainly hemorrhagic shock requiring fluids/blood, or neurogenic shock with respiratory failure requiring vasopressor escalation, airway control, consultant support, and rapid recognition of possible post-intubation tension pneumothorax. </w:t>
      </w:r>
    </w:p>
    <w:p w14:paraId="2175AFFE" w14:textId="77777777" w:rsidR="005F75FC" w:rsidRPr="005F75FC" w:rsidRDefault="00596BE2" w:rsidP="005F75FC">
      <w:pPr>
        <w:rPr>
          <w:rFonts w:ascii="Times New Roman" w:eastAsia="Times New Roman" w:hAnsi="Times New Roman" w:cs="Times New Roman"/>
          <w:kern w:val="0"/>
          <w:lang w:eastAsia="el-GR"/>
          <w14:ligatures w14:val="none"/>
        </w:rPr>
      </w:pPr>
      <w:r w:rsidRPr="00596BE2">
        <w:rPr>
          <w:rFonts w:ascii="Times New Roman" w:eastAsia="Times New Roman" w:hAnsi="Times New Roman" w:cs="Times New Roman"/>
          <w:noProof/>
          <w:kern w:val="0"/>
          <w:lang w:eastAsia="el-GR"/>
        </w:rPr>
        <w:pict w14:anchorId="010EBE0E">
          <v:rect id="_x0000_i1044" alt="" style="width:414.9pt;height:.05pt;mso-width-percent:0;mso-height-percent:0;mso-width-percent:0;mso-height-percent:0" o:hrpct="999" o:hralign="center" o:hrstd="t" o:hr="t" fillcolor="#a0a0a0" stroked="f"/>
        </w:pict>
      </w:r>
    </w:p>
    <w:p w14:paraId="3AED6BE1"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F75FC">
        <w:rPr>
          <w:rFonts w:ascii="Times New Roman" w:eastAsia="Times New Roman" w:hAnsi="Times New Roman" w:cs="Times New Roman"/>
          <w:b/>
          <w:bCs/>
          <w:kern w:val="36"/>
          <w:sz w:val="48"/>
          <w:szCs w:val="48"/>
          <w:lang w:val="en-US" w:eastAsia="el-GR"/>
          <w14:ligatures w14:val="none"/>
        </w:rPr>
        <w:t>2. Primary Decision Problem</w:t>
      </w:r>
    </w:p>
    <w:p w14:paraId="415070F4"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The team must decide the safest immediate management plan for a deteriorating ICU trauma patient with:</w:t>
      </w:r>
    </w:p>
    <w:p w14:paraId="460A0ECA" w14:textId="77777777" w:rsidR="005F75FC" w:rsidRPr="005F75FC" w:rsidRDefault="005F75FC" w:rsidP="005F75F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Respiratory failure risk</w:t>
      </w:r>
      <w:r w:rsidRPr="005F75FC">
        <w:rPr>
          <w:rFonts w:ascii="Times New Roman" w:eastAsia="Times New Roman" w:hAnsi="Times New Roman" w:cs="Times New Roman"/>
          <w:kern w:val="0"/>
          <w:lang w:val="en-US" w:eastAsia="el-GR"/>
          <w14:ligatures w14:val="none"/>
        </w:rPr>
        <w:t xml:space="preserve"> from flail chest, bilateral pneumothorax risk, fatigue, and falling GCS. </w:t>
      </w:r>
    </w:p>
    <w:p w14:paraId="0AE64689" w14:textId="77777777" w:rsidR="005F75FC" w:rsidRPr="005F75FC" w:rsidRDefault="005F75FC" w:rsidP="005F75F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Shock</w:t>
      </w:r>
      <w:r w:rsidRPr="005F75FC">
        <w:rPr>
          <w:rFonts w:ascii="Times New Roman" w:eastAsia="Times New Roman" w:hAnsi="Times New Roman" w:cs="Times New Roman"/>
          <w:kern w:val="0"/>
          <w:lang w:val="en-US" w:eastAsia="el-GR"/>
          <w14:ligatures w14:val="none"/>
        </w:rPr>
        <w:t xml:space="preserve"> with hypotension and bradycardia. </w:t>
      </w:r>
    </w:p>
    <w:p w14:paraId="3F2C9F81" w14:textId="77777777" w:rsidR="005F75FC" w:rsidRPr="005F75FC" w:rsidRDefault="005F75FC" w:rsidP="005F75F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High spinal cord injury risk</w:t>
      </w:r>
      <w:r w:rsidRPr="005F75FC">
        <w:rPr>
          <w:rFonts w:ascii="Times New Roman" w:eastAsia="Times New Roman" w:hAnsi="Times New Roman" w:cs="Times New Roman"/>
          <w:kern w:val="0"/>
          <w:lang w:val="en-US" w:eastAsia="el-GR"/>
          <w14:ligatures w14:val="none"/>
        </w:rPr>
        <w:t xml:space="preserve"> at T5–T6. </w:t>
      </w:r>
    </w:p>
    <w:p w14:paraId="2DEFF85F" w14:textId="77777777" w:rsidR="005F75FC" w:rsidRPr="005F75FC" w:rsidRDefault="005F75FC" w:rsidP="005F75F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Risk of post-intubation deterioration</w:t>
      </w:r>
      <w:r w:rsidRPr="005F75FC">
        <w:rPr>
          <w:rFonts w:ascii="Times New Roman" w:eastAsia="Times New Roman" w:hAnsi="Times New Roman" w:cs="Times New Roman"/>
          <w:kern w:val="0"/>
          <w:lang w:val="en-US" w:eastAsia="el-GR"/>
          <w14:ligatures w14:val="none"/>
        </w:rPr>
        <w:t xml:space="preserve">, especially tension pneumothorax. </w:t>
      </w:r>
    </w:p>
    <w:p w14:paraId="6A182C8D"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The central question is:</w:t>
      </w:r>
    </w:p>
    <w:p w14:paraId="3C720779"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Is the dominant problem hemorrhagic shock, or neurogenic shock with respiratory failure and high risk of post-intubation tension pneumothorax?</w:t>
      </w:r>
    </w:p>
    <w:p w14:paraId="7D957629" w14:textId="77777777" w:rsidR="005F75FC" w:rsidRPr="005F75FC" w:rsidRDefault="00596BE2" w:rsidP="005F75FC">
      <w:pPr>
        <w:rPr>
          <w:rFonts w:ascii="Times New Roman" w:eastAsia="Times New Roman" w:hAnsi="Times New Roman" w:cs="Times New Roman"/>
          <w:kern w:val="0"/>
          <w:lang w:eastAsia="el-GR"/>
          <w14:ligatures w14:val="none"/>
        </w:rPr>
      </w:pPr>
      <w:r w:rsidRPr="00596BE2">
        <w:rPr>
          <w:rFonts w:ascii="Times New Roman" w:eastAsia="Times New Roman" w:hAnsi="Times New Roman" w:cs="Times New Roman"/>
          <w:noProof/>
          <w:kern w:val="0"/>
          <w:lang w:eastAsia="el-GR"/>
        </w:rPr>
        <w:pict w14:anchorId="0D5C6C5B">
          <v:rect id="_x0000_i1043" alt="" style="width:414.9pt;height:.05pt;mso-width-percent:0;mso-height-percent:0;mso-width-percent:0;mso-height-percent:0" o:hrpct="999" o:hralign="center" o:hrstd="t" o:hr="t" fillcolor="#a0a0a0" stroked="f"/>
        </w:pict>
      </w:r>
    </w:p>
    <w:p w14:paraId="69E2EE7D"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5724"/>
      </w:tblGrid>
      <w:tr w:rsidR="005F75FC" w:rsidRPr="005F75FC" w14:paraId="70A8AB53" w14:textId="77777777">
        <w:trPr>
          <w:tblHeader/>
          <w:tblCellSpacing w:w="15" w:type="dxa"/>
        </w:trPr>
        <w:tc>
          <w:tcPr>
            <w:tcW w:w="0" w:type="auto"/>
            <w:vAlign w:val="center"/>
            <w:hideMark/>
          </w:tcPr>
          <w:p w14:paraId="41E42B52" w14:textId="77777777" w:rsidR="005F75FC" w:rsidRPr="005F75FC" w:rsidRDefault="005F75FC" w:rsidP="005F75FC">
            <w:pPr>
              <w:jc w:val="center"/>
              <w:rPr>
                <w:rFonts w:ascii="Times New Roman" w:eastAsia="Times New Roman" w:hAnsi="Times New Roman" w:cs="Times New Roman"/>
                <w:b/>
                <w:bCs/>
                <w:kern w:val="0"/>
                <w:lang w:eastAsia="el-GR"/>
                <w14:ligatures w14:val="none"/>
              </w:rPr>
            </w:pPr>
            <w:r w:rsidRPr="005F75FC">
              <w:rPr>
                <w:rFonts w:ascii="Times New Roman" w:eastAsia="Times New Roman" w:hAnsi="Times New Roman" w:cs="Times New Roman"/>
                <w:b/>
                <w:bCs/>
                <w:kern w:val="0"/>
                <w:lang w:eastAsia="el-GR"/>
                <w14:ligatures w14:val="none"/>
              </w:rPr>
              <w:t>Category</w:t>
            </w:r>
          </w:p>
        </w:tc>
        <w:tc>
          <w:tcPr>
            <w:tcW w:w="0" w:type="auto"/>
            <w:vAlign w:val="center"/>
            <w:hideMark/>
          </w:tcPr>
          <w:p w14:paraId="695EB091" w14:textId="77777777" w:rsidR="005F75FC" w:rsidRPr="005F75FC" w:rsidRDefault="005F75FC" w:rsidP="005F75FC">
            <w:pPr>
              <w:jc w:val="center"/>
              <w:rPr>
                <w:rFonts w:ascii="Times New Roman" w:eastAsia="Times New Roman" w:hAnsi="Times New Roman" w:cs="Times New Roman"/>
                <w:b/>
                <w:bCs/>
                <w:kern w:val="0"/>
                <w:lang w:eastAsia="el-GR"/>
                <w14:ligatures w14:val="none"/>
              </w:rPr>
            </w:pPr>
            <w:r w:rsidRPr="005F75FC">
              <w:rPr>
                <w:rFonts w:ascii="Times New Roman" w:eastAsia="Times New Roman" w:hAnsi="Times New Roman" w:cs="Times New Roman"/>
                <w:b/>
                <w:bCs/>
                <w:kern w:val="0"/>
                <w:lang w:eastAsia="el-GR"/>
                <w14:ligatures w14:val="none"/>
              </w:rPr>
              <w:t>Known Information</w:t>
            </w:r>
          </w:p>
        </w:tc>
      </w:tr>
      <w:tr w:rsidR="005F75FC" w:rsidRPr="005F75FC" w14:paraId="46353B36" w14:textId="77777777">
        <w:trPr>
          <w:tblCellSpacing w:w="15" w:type="dxa"/>
        </w:trPr>
        <w:tc>
          <w:tcPr>
            <w:tcW w:w="0" w:type="auto"/>
            <w:vAlign w:val="center"/>
            <w:hideMark/>
          </w:tcPr>
          <w:p w14:paraId="11C18AA3"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Patient</w:t>
            </w:r>
          </w:p>
        </w:tc>
        <w:tc>
          <w:tcPr>
            <w:tcW w:w="0" w:type="auto"/>
            <w:vAlign w:val="center"/>
            <w:hideMark/>
          </w:tcPr>
          <w:p w14:paraId="48F04FE1"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46-year-old female, Aisha Tahan</w:t>
            </w:r>
          </w:p>
        </w:tc>
      </w:tr>
      <w:tr w:rsidR="005F75FC" w:rsidRPr="005F75FC" w14:paraId="2C840926" w14:textId="77777777">
        <w:trPr>
          <w:tblCellSpacing w:w="15" w:type="dxa"/>
        </w:trPr>
        <w:tc>
          <w:tcPr>
            <w:tcW w:w="0" w:type="auto"/>
            <w:vAlign w:val="center"/>
            <w:hideMark/>
          </w:tcPr>
          <w:p w14:paraId="032D639B"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Mechanism</w:t>
            </w:r>
          </w:p>
        </w:tc>
        <w:tc>
          <w:tcPr>
            <w:tcW w:w="0" w:type="auto"/>
            <w:vAlign w:val="center"/>
            <w:hideMark/>
          </w:tcPr>
          <w:p w14:paraId="7F52F4BE"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Pedestrian pinned between truck and car</w:t>
            </w:r>
          </w:p>
        </w:tc>
      </w:tr>
      <w:tr w:rsidR="005F75FC" w:rsidRPr="005F75FC" w14:paraId="04F223D4" w14:textId="77777777">
        <w:trPr>
          <w:tblCellSpacing w:w="15" w:type="dxa"/>
        </w:trPr>
        <w:tc>
          <w:tcPr>
            <w:tcW w:w="0" w:type="auto"/>
            <w:vAlign w:val="center"/>
            <w:hideMark/>
          </w:tcPr>
          <w:p w14:paraId="605FC567"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lastRenderedPageBreak/>
              <w:t>Chest injuries</w:t>
            </w:r>
          </w:p>
        </w:tc>
        <w:tc>
          <w:tcPr>
            <w:tcW w:w="0" w:type="auto"/>
            <w:vAlign w:val="center"/>
            <w:hideMark/>
          </w:tcPr>
          <w:p w14:paraId="5524EF03"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Bilateral rib fractures, right flail chest</w:t>
            </w:r>
          </w:p>
        </w:tc>
      </w:tr>
      <w:tr w:rsidR="005F75FC" w:rsidRPr="005F75FC" w14:paraId="3C8415CB" w14:textId="77777777">
        <w:trPr>
          <w:tblCellSpacing w:w="15" w:type="dxa"/>
        </w:trPr>
        <w:tc>
          <w:tcPr>
            <w:tcW w:w="0" w:type="auto"/>
            <w:vAlign w:val="center"/>
            <w:hideMark/>
          </w:tcPr>
          <w:p w14:paraId="58553868"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Pneumothorax</w:t>
            </w:r>
          </w:p>
        </w:tc>
        <w:tc>
          <w:tcPr>
            <w:tcW w:w="0" w:type="auto"/>
            <w:vAlign w:val="center"/>
            <w:hideMark/>
          </w:tcPr>
          <w:p w14:paraId="5861D70E"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Right pneumothorax with chest tube inserted; occult left pneumothorax</w:t>
            </w:r>
          </w:p>
        </w:tc>
      </w:tr>
      <w:tr w:rsidR="005F75FC" w:rsidRPr="005F75FC" w14:paraId="20468E86" w14:textId="77777777">
        <w:trPr>
          <w:tblCellSpacing w:w="15" w:type="dxa"/>
        </w:trPr>
        <w:tc>
          <w:tcPr>
            <w:tcW w:w="0" w:type="auto"/>
            <w:vAlign w:val="center"/>
            <w:hideMark/>
          </w:tcPr>
          <w:p w14:paraId="3244E131"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Abdomen</w:t>
            </w:r>
          </w:p>
        </w:tc>
        <w:tc>
          <w:tcPr>
            <w:tcW w:w="0" w:type="auto"/>
            <w:vAlign w:val="center"/>
            <w:hideMark/>
          </w:tcPr>
          <w:p w14:paraId="177FE37A"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Grade 2 liver laceration; bruised but soft, nondistended, nontender</w:t>
            </w:r>
          </w:p>
        </w:tc>
      </w:tr>
      <w:tr w:rsidR="005F75FC" w:rsidRPr="005F75FC" w14:paraId="73ACC49B" w14:textId="77777777">
        <w:trPr>
          <w:tblCellSpacing w:w="15" w:type="dxa"/>
        </w:trPr>
        <w:tc>
          <w:tcPr>
            <w:tcW w:w="0" w:type="auto"/>
            <w:vAlign w:val="center"/>
            <w:hideMark/>
          </w:tcPr>
          <w:p w14:paraId="4DD65DEE"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Spine</w:t>
            </w:r>
          </w:p>
        </w:tc>
        <w:tc>
          <w:tcPr>
            <w:tcW w:w="0" w:type="auto"/>
            <w:vAlign w:val="center"/>
            <w:hideMark/>
          </w:tcPr>
          <w:p w14:paraId="33DE5698"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Unstable T5–T6 fractures, about 50% canal narrowing</w:t>
            </w:r>
          </w:p>
        </w:tc>
      </w:tr>
      <w:tr w:rsidR="005F75FC" w:rsidRPr="005F75FC" w14:paraId="27F69730" w14:textId="77777777">
        <w:trPr>
          <w:tblCellSpacing w:w="15" w:type="dxa"/>
        </w:trPr>
        <w:tc>
          <w:tcPr>
            <w:tcW w:w="0" w:type="auto"/>
            <w:vAlign w:val="center"/>
            <w:hideMark/>
          </w:tcPr>
          <w:p w14:paraId="45FF61C6"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Planned care</w:t>
            </w:r>
          </w:p>
        </w:tc>
        <w:tc>
          <w:tcPr>
            <w:tcW w:w="0" w:type="auto"/>
            <w:vAlign w:val="center"/>
            <w:hideMark/>
          </w:tcPr>
          <w:p w14:paraId="7156BF52"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Awaiting operative spinal stabilization later same day</w:t>
            </w:r>
          </w:p>
        </w:tc>
      </w:tr>
      <w:tr w:rsidR="005F75FC" w:rsidRPr="005F75FC" w14:paraId="12BFE18F" w14:textId="77777777">
        <w:trPr>
          <w:tblCellSpacing w:w="15" w:type="dxa"/>
        </w:trPr>
        <w:tc>
          <w:tcPr>
            <w:tcW w:w="0" w:type="auto"/>
            <w:vAlign w:val="center"/>
            <w:hideMark/>
          </w:tcPr>
          <w:p w14:paraId="3A12E394"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Deterioration</w:t>
            </w:r>
          </w:p>
        </w:tc>
        <w:tc>
          <w:tcPr>
            <w:tcW w:w="0" w:type="auto"/>
            <w:vAlign w:val="center"/>
            <w:hideMark/>
          </w:tcPr>
          <w:p w14:paraId="01B18820"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Increased work of breathing, fluctuating consciousness, increasing vasopressor needs</w:t>
            </w:r>
          </w:p>
        </w:tc>
      </w:tr>
      <w:tr w:rsidR="005F75FC" w:rsidRPr="005F75FC" w14:paraId="624A5866" w14:textId="77777777">
        <w:trPr>
          <w:tblCellSpacing w:w="15" w:type="dxa"/>
        </w:trPr>
        <w:tc>
          <w:tcPr>
            <w:tcW w:w="0" w:type="auto"/>
            <w:vAlign w:val="center"/>
            <w:hideMark/>
          </w:tcPr>
          <w:p w14:paraId="663CEBB0"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HR</w:t>
            </w:r>
          </w:p>
        </w:tc>
        <w:tc>
          <w:tcPr>
            <w:tcW w:w="0" w:type="auto"/>
            <w:vAlign w:val="center"/>
            <w:hideMark/>
          </w:tcPr>
          <w:p w14:paraId="4A2AAD62"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48</w:t>
            </w:r>
          </w:p>
        </w:tc>
      </w:tr>
      <w:tr w:rsidR="005F75FC" w:rsidRPr="005F75FC" w14:paraId="13BA74A4" w14:textId="77777777">
        <w:trPr>
          <w:tblCellSpacing w:w="15" w:type="dxa"/>
        </w:trPr>
        <w:tc>
          <w:tcPr>
            <w:tcW w:w="0" w:type="auto"/>
            <w:vAlign w:val="center"/>
            <w:hideMark/>
          </w:tcPr>
          <w:p w14:paraId="592E2C0D"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BP</w:t>
            </w:r>
          </w:p>
        </w:tc>
        <w:tc>
          <w:tcPr>
            <w:tcW w:w="0" w:type="auto"/>
            <w:vAlign w:val="center"/>
            <w:hideMark/>
          </w:tcPr>
          <w:p w14:paraId="5B5CD73F"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79/48 on norepinephrine 15 mcg/min</w:t>
            </w:r>
          </w:p>
        </w:tc>
      </w:tr>
      <w:tr w:rsidR="005F75FC" w:rsidRPr="005F75FC" w14:paraId="78EAE095" w14:textId="77777777">
        <w:trPr>
          <w:tblCellSpacing w:w="15" w:type="dxa"/>
        </w:trPr>
        <w:tc>
          <w:tcPr>
            <w:tcW w:w="0" w:type="auto"/>
            <w:vAlign w:val="center"/>
            <w:hideMark/>
          </w:tcPr>
          <w:p w14:paraId="73196881"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RR</w:t>
            </w:r>
          </w:p>
        </w:tc>
        <w:tc>
          <w:tcPr>
            <w:tcW w:w="0" w:type="auto"/>
            <w:vAlign w:val="center"/>
            <w:hideMark/>
          </w:tcPr>
          <w:p w14:paraId="30CB0E28"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30</w:t>
            </w:r>
          </w:p>
        </w:tc>
      </w:tr>
      <w:tr w:rsidR="005F75FC" w:rsidRPr="005F75FC" w14:paraId="4A717625" w14:textId="77777777">
        <w:trPr>
          <w:tblCellSpacing w:w="15" w:type="dxa"/>
        </w:trPr>
        <w:tc>
          <w:tcPr>
            <w:tcW w:w="0" w:type="auto"/>
            <w:vAlign w:val="center"/>
            <w:hideMark/>
          </w:tcPr>
          <w:p w14:paraId="65B69BFA"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SpO₂</w:t>
            </w:r>
          </w:p>
        </w:tc>
        <w:tc>
          <w:tcPr>
            <w:tcW w:w="0" w:type="auto"/>
            <w:vAlign w:val="center"/>
            <w:hideMark/>
          </w:tcPr>
          <w:p w14:paraId="298ABC95"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93% on 100% non-rebreather</w:t>
            </w:r>
          </w:p>
        </w:tc>
      </w:tr>
      <w:tr w:rsidR="005F75FC" w:rsidRPr="005F75FC" w14:paraId="70E2631A" w14:textId="77777777">
        <w:trPr>
          <w:tblCellSpacing w:w="15" w:type="dxa"/>
        </w:trPr>
        <w:tc>
          <w:tcPr>
            <w:tcW w:w="0" w:type="auto"/>
            <w:vAlign w:val="center"/>
            <w:hideMark/>
          </w:tcPr>
          <w:p w14:paraId="7DCE575C"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Temperature</w:t>
            </w:r>
          </w:p>
        </w:tc>
        <w:tc>
          <w:tcPr>
            <w:tcW w:w="0" w:type="auto"/>
            <w:vAlign w:val="center"/>
            <w:hideMark/>
          </w:tcPr>
          <w:p w14:paraId="6FFA502B"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37.1°C</w:t>
            </w:r>
          </w:p>
        </w:tc>
      </w:tr>
      <w:tr w:rsidR="005F75FC" w:rsidRPr="005F75FC" w14:paraId="0B00735A" w14:textId="77777777">
        <w:trPr>
          <w:tblCellSpacing w:w="15" w:type="dxa"/>
        </w:trPr>
        <w:tc>
          <w:tcPr>
            <w:tcW w:w="0" w:type="auto"/>
            <w:vAlign w:val="center"/>
            <w:hideMark/>
          </w:tcPr>
          <w:p w14:paraId="3800C26C"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GCS</w:t>
            </w:r>
          </w:p>
        </w:tc>
        <w:tc>
          <w:tcPr>
            <w:tcW w:w="0" w:type="auto"/>
            <w:vAlign w:val="center"/>
            <w:hideMark/>
          </w:tcPr>
          <w:p w14:paraId="102F8B52"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9</w:t>
            </w:r>
          </w:p>
        </w:tc>
      </w:tr>
      <w:tr w:rsidR="005F75FC" w:rsidRPr="005F75FC" w14:paraId="01D780CE" w14:textId="77777777">
        <w:trPr>
          <w:tblCellSpacing w:w="15" w:type="dxa"/>
        </w:trPr>
        <w:tc>
          <w:tcPr>
            <w:tcW w:w="0" w:type="auto"/>
            <w:vAlign w:val="center"/>
            <w:hideMark/>
          </w:tcPr>
          <w:p w14:paraId="2B55FDC4"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Perfusion exam</w:t>
            </w:r>
          </w:p>
        </w:tc>
        <w:tc>
          <w:tcPr>
            <w:tcW w:w="0" w:type="auto"/>
            <w:vAlign w:val="center"/>
            <w:hideMark/>
          </w:tcPr>
          <w:p w14:paraId="1CF51947"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Warm extremities</w:t>
            </w:r>
          </w:p>
        </w:tc>
      </w:tr>
      <w:tr w:rsidR="005F75FC" w:rsidRPr="005F75FC" w14:paraId="2C852F83" w14:textId="77777777">
        <w:trPr>
          <w:tblCellSpacing w:w="15" w:type="dxa"/>
        </w:trPr>
        <w:tc>
          <w:tcPr>
            <w:tcW w:w="0" w:type="auto"/>
            <w:vAlign w:val="center"/>
            <w:hideMark/>
          </w:tcPr>
          <w:p w14:paraId="4375014E"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Major limb/pelvis bleeding signs</w:t>
            </w:r>
          </w:p>
        </w:tc>
        <w:tc>
          <w:tcPr>
            <w:tcW w:w="0" w:type="auto"/>
            <w:vAlign w:val="center"/>
            <w:hideMark/>
          </w:tcPr>
          <w:p w14:paraId="7ABFD617" w14:textId="77777777" w:rsidR="005F75FC" w:rsidRPr="005F75FC" w:rsidRDefault="005F75FC" w:rsidP="005F75FC">
            <w:pPr>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No obvious pelvic or long-bone fractures</w:t>
            </w:r>
          </w:p>
        </w:tc>
      </w:tr>
    </w:tbl>
    <w:p w14:paraId="0C7C7183"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6B2617DF">
          <v:rect id="_x0000_i1027" style="width:0;height:1.5pt" o:hralign="center" o:hrstd="t" o:hr="t" fillcolor="#a0a0a0" stroked="f"/>
        </w:pict>
      </w:r>
    </w:p>
    <w:p w14:paraId="1D1B558E"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F75FC">
        <w:rPr>
          <w:rFonts w:ascii="Times New Roman" w:eastAsia="Times New Roman" w:hAnsi="Times New Roman" w:cs="Times New Roman"/>
          <w:b/>
          <w:bCs/>
          <w:kern w:val="36"/>
          <w:sz w:val="48"/>
          <w:szCs w:val="48"/>
          <w:lang w:val="en-US" w:eastAsia="el-GR"/>
          <w14:ligatures w14:val="none"/>
        </w:rPr>
        <w:t>4. Unknown / Missing Information</w:t>
      </w:r>
    </w:p>
    <w:p w14:paraId="3CADED72"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The team should urgently confirm:</w:t>
      </w:r>
    </w:p>
    <w:p w14:paraId="777B057A"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Current chest tube function and output. </w:t>
      </w:r>
    </w:p>
    <w:p w14:paraId="458E1C12"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Whether the right chest tube is blocked, kinked, displaced, or insufficient. </w:t>
      </w:r>
    </w:p>
    <w:p w14:paraId="77D7B707"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Whether the occult left pneumothorax has expanded. </w:t>
      </w:r>
    </w:p>
    <w:p w14:paraId="2995753D"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Bedside ultrasound/chest X-ray findings. </w:t>
      </w:r>
    </w:p>
    <w:p w14:paraId="65BF7C00"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Arterial blood gas and CO₂ level. </w:t>
      </w:r>
    </w:p>
    <w:p w14:paraId="7E04F9D7"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Hemoglobin trend. </w:t>
      </w:r>
    </w:p>
    <w:p w14:paraId="1FF1B840"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Lactate/base deficit. </w:t>
      </w:r>
    </w:p>
    <w:p w14:paraId="17362E91"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Fluid balance and response to fluid challenge. </w:t>
      </w:r>
    </w:p>
    <w:p w14:paraId="14A536D0"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Ongoing bleeding evidence from liver injury or other occult source. </w:t>
      </w:r>
    </w:p>
    <w:p w14:paraId="21347DA4"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Neurologic level and completeness of spinal cord injury. </w:t>
      </w:r>
    </w:p>
    <w:p w14:paraId="75C4B944"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Current MAP and target MAP strategy. </w:t>
      </w:r>
    </w:p>
    <w:p w14:paraId="17046ADB" w14:textId="77777777" w:rsidR="005F75FC" w:rsidRPr="005F75FC" w:rsidRDefault="005F75FC" w:rsidP="005F75FC">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Availability of anesthesia, trauma surgery, thoracic surgery, neurosurgery/spine surgery, and ICU consultant. </w:t>
      </w:r>
    </w:p>
    <w:p w14:paraId="1F83FE7F"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The missing facts are important, but the patient is already unstable and needs immediate intervention.</w:t>
      </w:r>
    </w:p>
    <w:p w14:paraId="25C704B0"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2F6EC7B7">
          <v:rect id="_x0000_i1028" style="width:0;height:1.5pt" o:hralign="center" o:hrstd="t" o:hr="t" fillcolor="#a0a0a0" stroked="f"/>
        </w:pict>
      </w:r>
    </w:p>
    <w:p w14:paraId="5F0B9067"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F75FC">
        <w:rPr>
          <w:rFonts w:ascii="Times New Roman" w:eastAsia="Times New Roman" w:hAnsi="Times New Roman" w:cs="Times New Roman"/>
          <w:b/>
          <w:bCs/>
          <w:kern w:val="36"/>
          <w:sz w:val="48"/>
          <w:szCs w:val="48"/>
          <w:lang w:val="en-US" w:eastAsia="el-GR"/>
          <w14:ligatures w14:val="none"/>
        </w:rPr>
        <w:t>5. Situation Assessment</w:t>
      </w:r>
    </w:p>
    <w:p w14:paraId="59AFAFA9"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F75FC">
        <w:rPr>
          <w:rFonts w:ascii="Times New Roman" w:eastAsia="Times New Roman" w:hAnsi="Times New Roman" w:cs="Times New Roman"/>
          <w:b/>
          <w:bCs/>
          <w:kern w:val="0"/>
          <w:sz w:val="36"/>
          <w:szCs w:val="36"/>
          <w:lang w:val="en-US" w:eastAsia="el-GR"/>
          <w14:ligatures w14:val="none"/>
        </w:rPr>
        <w:lastRenderedPageBreak/>
        <w:t>Perception</w:t>
      </w:r>
    </w:p>
    <w:p w14:paraId="43F2C3FB"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The patient is in acute deterioration: hypotension, bradycardia, GCS 9, respiratory distress, high oxygen requirement, and increasing vasopressor requirement.</w:t>
      </w:r>
    </w:p>
    <w:p w14:paraId="53554900"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Interpretation:</w:t>
      </w:r>
      <w:r w:rsidRPr="005F75FC">
        <w:rPr>
          <w:rFonts w:ascii="Times New Roman" w:eastAsia="Times New Roman" w:hAnsi="Times New Roman" w:cs="Times New Roman"/>
          <w:kern w:val="0"/>
          <w:lang w:val="en-US" w:eastAsia="el-GR"/>
          <w14:ligatures w14:val="none"/>
        </w:rPr>
        <w:t xml:space="preserve"> This is an immediate life-threatening deterioration involving both breathing and circulation.</w:t>
      </w:r>
    </w:p>
    <w:p w14:paraId="09DE7685"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Confidence:</w:t>
      </w:r>
      <w:r w:rsidRPr="005F75FC">
        <w:rPr>
          <w:rFonts w:ascii="Times New Roman" w:eastAsia="Times New Roman" w:hAnsi="Times New Roman" w:cs="Times New Roman"/>
          <w:kern w:val="0"/>
          <w:lang w:eastAsia="el-GR"/>
          <w14:ligatures w14:val="none"/>
        </w:rPr>
        <w:t xml:space="preserve"> 0.90</w:t>
      </w:r>
    </w:p>
    <w:p w14:paraId="367586E9"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47F07B24">
          <v:rect id="_x0000_i1029" style="width:0;height:1.5pt" o:hralign="center" o:hrstd="t" o:hr="t" fillcolor="#a0a0a0" stroked="f"/>
        </w:pict>
      </w:r>
    </w:p>
    <w:p w14:paraId="55C57422"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F75FC">
        <w:rPr>
          <w:rFonts w:ascii="Times New Roman" w:eastAsia="Times New Roman" w:hAnsi="Times New Roman" w:cs="Times New Roman"/>
          <w:b/>
          <w:bCs/>
          <w:kern w:val="0"/>
          <w:sz w:val="36"/>
          <w:szCs w:val="36"/>
          <w:lang w:val="en-US" w:eastAsia="el-GR"/>
          <w14:ligatures w14:val="none"/>
        </w:rPr>
        <w:t>Comprehension</w:t>
      </w:r>
    </w:p>
    <w:p w14:paraId="13050DE0"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The pattern is more consistent with </w:t>
      </w:r>
      <w:r w:rsidRPr="005F75FC">
        <w:rPr>
          <w:rFonts w:ascii="Times New Roman" w:eastAsia="Times New Roman" w:hAnsi="Times New Roman" w:cs="Times New Roman"/>
          <w:b/>
          <w:bCs/>
          <w:kern w:val="0"/>
          <w:lang w:val="en-US" w:eastAsia="el-GR"/>
          <w14:ligatures w14:val="none"/>
        </w:rPr>
        <w:t>neurogenic shock plus respiratory failure</w:t>
      </w:r>
      <w:r w:rsidRPr="005F75FC">
        <w:rPr>
          <w:rFonts w:ascii="Times New Roman" w:eastAsia="Times New Roman" w:hAnsi="Times New Roman" w:cs="Times New Roman"/>
          <w:kern w:val="0"/>
          <w:lang w:val="en-US" w:eastAsia="el-GR"/>
          <w14:ligatures w14:val="none"/>
        </w:rPr>
        <w:t xml:space="preserve"> than isolated hemorrhagic shock.</w:t>
      </w:r>
    </w:p>
    <w:p w14:paraId="43F215D4"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reasons are:</w:t>
      </w:r>
    </w:p>
    <w:p w14:paraId="393C3C7C" w14:textId="77777777" w:rsidR="005F75FC" w:rsidRPr="005F75FC" w:rsidRDefault="005F75FC" w:rsidP="005F75FC">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Hypotension with </w:t>
      </w:r>
      <w:r w:rsidRPr="005F75FC">
        <w:rPr>
          <w:rFonts w:ascii="Times New Roman" w:eastAsia="Times New Roman" w:hAnsi="Times New Roman" w:cs="Times New Roman"/>
          <w:b/>
          <w:bCs/>
          <w:kern w:val="0"/>
          <w:lang w:val="en-US" w:eastAsia="el-GR"/>
          <w14:ligatures w14:val="none"/>
        </w:rPr>
        <w:t>bradycardia</w:t>
      </w:r>
      <w:r w:rsidRPr="005F75FC">
        <w:rPr>
          <w:rFonts w:ascii="Times New Roman" w:eastAsia="Times New Roman" w:hAnsi="Times New Roman" w:cs="Times New Roman"/>
          <w:kern w:val="0"/>
          <w:lang w:val="en-US" w:eastAsia="el-GR"/>
          <w14:ligatures w14:val="none"/>
        </w:rPr>
        <w:t xml:space="preserve"> rather than tachycardia. </w:t>
      </w:r>
    </w:p>
    <w:p w14:paraId="56E92C0D" w14:textId="77777777" w:rsidR="005F75FC" w:rsidRPr="005F75FC" w:rsidRDefault="005F75FC" w:rsidP="005F75FC">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Warm extremities, suggesting vasodilation rather than cold shock. </w:t>
      </w:r>
    </w:p>
    <w:p w14:paraId="4A4BC1BE" w14:textId="77777777" w:rsidR="005F75FC" w:rsidRPr="005F75FC" w:rsidRDefault="005F75FC" w:rsidP="005F75FC">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High thoracic spinal injury at T5–T6, which can disrupt sympathetic tone. </w:t>
      </w:r>
    </w:p>
    <w:p w14:paraId="575479C0" w14:textId="77777777" w:rsidR="005F75FC" w:rsidRPr="005F75FC" w:rsidRDefault="005F75FC" w:rsidP="005F75FC">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No obvious pelvic or long-bone fractures. </w:t>
      </w:r>
    </w:p>
    <w:p w14:paraId="5ECFB1E2" w14:textId="77777777" w:rsidR="005F75FC" w:rsidRPr="005F75FC" w:rsidRDefault="005F75FC" w:rsidP="005F75FC">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Abdomen is bruised but soft, nondistended, and nontender. </w:t>
      </w:r>
    </w:p>
    <w:p w14:paraId="60E823F6" w14:textId="77777777" w:rsidR="005F75FC" w:rsidRPr="005F75FC" w:rsidRDefault="005F75FC" w:rsidP="005F75FC">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Respiratory failure risk is substantial because of flail chest, pneumothorax history, occult contralateral pneumothorax, tachypnea, and falling GCS. </w:t>
      </w:r>
    </w:p>
    <w:p w14:paraId="44B86DAF"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Neurogenic shock after spinal cord injury is classically associated with hypotension and bradycardia, and acute SCI hemodynamic management often targets MAP support to protect spinal cord perfusion. </w:t>
      </w:r>
    </w:p>
    <w:p w14:paraId="725499D4"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Confidence:</w:t>
      </w:r>
      <w:r w:rsidRPr="005F75FC">
        <w:rPr>
          <w:rFonts w:ascii="Times New Roman" w:eastAsia="Times New Roman" w:hAnsi="Times New Roman" w:cs="Times New Roman"/>
          <w:kern w:val="0"/>
          <w:lang w:eastAsia="el-GR"/>
          <w14:ligatures w14:val="none"/>
        </w:rPr>
        <w:t xml:space="preserve"> 0.82</w:t>
      </w:r>
    </w:p>
    <w:p w14:paraId="329E5041"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6FB0EEBD">
          <v:rect id="_x0000_i1030" style="width:0;height:1.5pt" o:hralign="center" o:hrstd="t" o:hr="t" fillcolor="#a0a0a0" stroked="f"/>
        </w:pict>
      </w:r>
    </w:p>
    <w:p w14:paraId="7E799936"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Projection</w:t>
      </w:r>
    </w:p>
    <w:p w14:paraId="19F7B763"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Without urgent airway control and circulatory support, the patient may progress to respiratory arrest, worsening hypoxia, cardiovascular collapse, or secondary spinal cord injury from poor perfusion.</w:t>
      </w:r>
    </w:p>
    <w:p w14:paraId="4F4313BA"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However, intubation itself may precipitate deterioration. Positive-pressure ventilation can worsen an occult or inadequately drained pneumothorax, so the team must be ready to recognize and decompress/treat post-intubation tension pneumothorax immediately.</w:t>
      </w:r>
    </w:p>
    <w:p w14:paraId="5B589A57"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Confidence:</w:t>
      </w:r>
      <w:r w:rsidRPr="005F75FC">
        <w:rPr>
          <w:rFonts w:ascii="Times New Roman" w:eastAsia="Times New Roman" w:hAnsi="Times New Roman" w:cs="Times New Roman"/>
          <w:kern w:val="0"/>
          <w:lang w:eastAsia="el-GR"/>
          <w14:ligatures w14:val="none"/>
        </w:rPr>
        <w:t xml:space="preserve"> 0.78</w:t>
      </w:r>
    </w:p>
    <w:p w14:paraId="7125D84A"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lastRenderedPageBreak/>
        <w:pict w14:anchorId="71C3C09E">
          <v:rect id="_x0000_i1031" style="width:0;height:1.5pt" o:hralign="center" o:hrstd="t" o:hr="t" fillcolor="#a0a0a0" stroked="f"/>
        </w:pict>
      </w:r>
    </w:p>
    <w:p w14:paraId="53E7832C"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6. Objectives</w:t>
      </w:r>
    </w:p>
    <w:p w14:paraId="73A00539"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immediate objectives are:</w:t>
      </w:r>
    </w:p>
    <w:p w14:paraId="5CF55E88" w14:textId="77777777" w:rsidR="005F75FC" w:rsidRPr="005F75FC" w:rsidRDefault="005F75FC" w:rsidP="005F75F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Prevent respiratory arrest. </w:t>
      </w:r>
    </w:p>
    <w:p w14:paraId="4C3866CA" w14:textId="77777777" w:rsidR="005F75FC" w:rsidRPr="005F75FC" w:rsidRDefault="005F75FC" w:rsidP="005F75F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Secure oxygenation and ventilation. </w:t>
      </w:r>
    </w:p>
    <w:p w14:paraId="2ACC35FD" w14:textId="77777777" w:rsidR="005F75FC" w:rsidRPr="005F75FC" w:rsidRDefault="005F75FC" w:rsidP="005F75F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Maintain spinal cord perfusion. </w:t>
      </w:r>
    </w:p>
    <w:p w14:paraId="7740063F" w14:textId="77777777" w:rsidR="005F75FC" w:rsidRPr="005F75FC" w:rsidRDefault="005F75FC" w:rsidP="005F75F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Treat likely neurogenic shock with appropriate vasopressor support. </w:t>
      </w:r>
    </w:p>
    <w:p w14:paraId="6E3C88D5" w14:textId="77777777" w:rsidR="005F75FC" w:rsidRPr="005F75FC" w:rsidRDefault="005F75FC" w:rsidP="005F75F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Exclude or treat hemorrhage if evidence appears. </w:t>
      </w:r>
    </w:p>
    <w:p w14:paraId="235A4D70" w14:textId="77777777" w:rsidR="005F75FC" w:rsidRPr="005F75FC" w:rsidRDefault="005F75FC" w:rsidP="005F75F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Anticipate and rapidly manage tension pneumothorax after intubation. </w:t>
      </w:r>
    </w:p>
    <w:p w14:paraId="5A59977B" w14:textId="77777777" w:rsidR="005F75FC" w:rsidRPr="005F75FC" w:rsidRDefault="005F75FC" w:rsidP="005F75F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Mobilize senior ICU, anesthesia, trauma, and spine/neurosurgical support. </w:t>
      </w:r>
    </w:p>
    <w:p w14:paraId="3A1522B3"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7DC16641">
          <v:rect id="_x0000_i1032" style="width:0;height:1.5pt" o:hralign="center" o:hrstd="t" o:hr="t" fillcolor="#a0a0a0" stroked="f"/>
        </w:pict>
      </w:r>
    </w:p>
    <w:p w14:paraId="57E0FEC6"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7. Constraints</w:t>
      </w:r>
    </w:p>
    <w:p w14:paraId="6D9AD249"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Hard constraints</w:t>
      </w:r>
    </w:p>
    <w:p w14:paraId="67822AFC"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patient must not be managed as a simple stable ward/ICU observation case.</w:t>
      </w:r>
    </w:p>
    <w:p w14:paraId="07B7F81E"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team must not delay airway control if GCS, oxygenation, ventilation, or work of breathing continues to deteriorate.</w:t>
      </w:r>
    </w:p>
    <w:p w14:paraId="37B63FF6"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team must not assume hemorrhage is absent; trauma bleeding must still be checked with labs, imaging, drain output, and clinical reassessment.</w:t>
      </w:r>
    </w:p>
    <w:p w14:paraId="65C08885"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team must be ready for immediate chest decompression or chest tube intervention if post-intubation tension pneumothorax occurs.</w:t>
      </w:r>
    </w:p>
    <w:p w14:paraId="26425373"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Soft constraints</w:t>
      </w:r>
    </w:p>
    <w:p w14:paraId="5988234A"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team should avoid excessive crystalloid if hemorrhage is not the dominant process.</w:t>
      </w:r>
    </w:p>
    <w:p w14:paraId="56BEB6C8"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The team should preserve spinal cord perfusion and avoid prolonged hypotension. Updated spinal cord injury guidance suggests maintaining MAP in an augmented range, commonly around 75–80 mmHg as a lower limit and not actively augmenting beyond 90–95 mmHg, for several days after acute traumatic SCI, although evidence quality is limited. </w:t>
      </w:r>
    </w:p>
    <w:p w14:paraId="6D76FBE2"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7F7CCB5D">
          <v:rect id="_x0000_i1033" style="width:0;height:1.5pt" o:hralign="center" o:hrstd="t" o:hr="t" fillcolor="#a0a0a0" stroked="f"/>
        </w:pict>
      </w:r>
    </w:p>
    <w:p w14:paraId="08A9F628"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8. Courses of Action</w:t>
      </w:r>
    </w:p>
    <w:p w14:paraId="7B5502F7"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lastRenderedPageBreak/>
        <w:t>Option 1: Treat primarily as hemorrhagic shock with fluids/blood first</w:t>
      </w:r>
    </w:p>
    <w:p w14:paraId="075FC4E8"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Description:</w:t>
      </w:r>
      <w:r w:rsidRPr="005F75FC">
        <w:rPr>
          <w:rFonts w:ascii="Times New Roman" w:eastAsia="Times New Roman" w:hAnsi="Times New Roman" w:cs="Times New Roman"/>
          <w:kern w:val="0"/>
          <w:lang w:eastAsia="el-GR"/>
          <w14:ligatures w14:val="none"/>
        </w:rPr>
        <w:t xml:space="preserve"> Prioritize fluid boluses and blood products as the primary response, assuming hypotension is mainly hemorrhagic.</w:t>
      </w:r>
    </w:p>
    <w:p w14:paraId="00119F79"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Advantages:</w:t>
      </w:r>
    </w:p>
    <w:p w14:paraId="3F1F985C" w14:textId="77777777" w:rsidR="005F75FC" w:rsidRPr="005F75FC" w:rsidRDefault="005F75FC" w:rsidP="005F75F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Appropriate if occult bleeding is present. </w:t>
      </w:r>
    </w:p>
    <w:p w14:paraId="3A24CC21" w14:textId="77777777" w:rsidR="005F75FC" w:rsidRPr="005F75FC" w:rsidRDefault="005F75FC" w:rsidP="005F75F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Trauma patients can bleed internally despite limited external signs. </w:t>
      </w:r>
    </w:p>
    <w:p w14:paraId="30B7D2C6" w14:textId="77777777" w:rsidR="005F75FC" w:rsidRPr="005F75FC" w:rsidRDefault="005F75FC" w:rsidP="005F75F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Liver injury makes hemorrhage possible. </w:t>
      </w:r>
    </w:p>
    <w:p w14:paraId="171DC608"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Risks:</w:t>
      </w:r>
    </w:p>
    <w:p w14:paraId="6C42DB0C" w14:textId="77777777" w:rsidR="005F75FC" w:rsidRPr="005F75FC" w:rsidRDefault="005F75FC" w:rsidP="005F75F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Does not address respiratory failure quickly enough. </w:t>
      </w:r>
    </w:p>
    <w:p w14:paraId="5BDA59C3" w14:textId="77777777" w:rsidR="005F75FC" w:rsidRPr="005F75FC" w:rsidRDefault="005F75FC" w:rsidP="005F75F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Bradycardia and warm extremities fit neurogenic shock better than hemorrhagic shock. </w:t>
      </w:r>
    </w:p>
    <w:p w14:paraId="62B27829" w14:textId="77777777" w:rsidR="005F75FC" w:rsidRPr="005F75FC" w:rsidRDefault="005F75FC" w:rsidP="005F75F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May delay airway control. </w:t>
      </w:r>
    </w:p>
    <w:p w14:paraId="73B8B36E" w14:textId="77777777" w:rsidR="005F75FC" w:rsidRPr="005F75FC" w:rsidRDefault="005F75FC" w:rsidP="005F75F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May worsen respiratory mechanics or oxygenation if excessive fluids are given. </w:t>
      </w:r>
    </w:p>
    <w:p w14:paraId="0FC86A71" w14:textId="77777777" w:rsidR="005F75FC" w:rsidRPr="005F75FC" w:rsidRDefault="005F75FC" w:rsidP="005F75F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Does not prepare enough for post-intubation pneumothorax risk. </w:t>
      </w:r>
    </w:p>
    <w:p w14:paraId="16A81EAF"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Estimated utility:</w:t>
      </w:r>
      <w:r w:rsidRPr="005F75FC">
        <w:rPr>
          <w:rFonts w:ascii="Times New Roman" w:eastAsia="Times New Roman" w:hAnsi="Times New Roman" w:cs="Times New Roman"/>
          <w:kern w:val="0"/>
          <w:lang w:eastAsia="el-GR"/>
          <w14:ligatures w14:val="none"/>
        </w:rPr>
        <w:t xml:space="preserve"> 55/100</w:t>
      </w:r>
      <w:r w:rsidRPr="005F75FC">
        <w:rPr>
          <w:rFonts w:ascii="Times New Roman" w:eastAsia="Times New Roman" w:hAnsi="Times New Roman" w:cs="Times New Roman"/>
          <w:kern w:val="0"/>
          <w:lang w:eastAsia="el-GR"/>
          <w14:ligatures w14:val="none"/>
        </w:rPr>
        <w:br/>
      </w:r>
      <w:r w:rsidRPr="005F75FC">
        <w:rPr>
          <w:rFonts w:ascii="Times New Roman" w:eastAsia="Times New Roman" w:hAnsi="Times New Roman" w:cs="Times New Roman"/>
          <w:b/>
          <w:bCs/>
          <w:kern w:val="0"/>
          <w:lang w:eastAsia="el-GR"/>
          <w14:ligatures w14:val="none"/>
        </w:rPr>
        <w:t>Reversibility:</w:t>
      </w:r>
      <w:r w:rsidRPr="005F75FC">
        <w:rPr>
          <w:rFonts w:ascii="Times New Roman" w:eastAsia="Times New Roman" w:hAnsi="Times New Roman" w:cs="Times New Roman"/>
          <w:kern w:val="0"/>
          <w:lang w:eastAsia="el-GR"/>
          <w14:ligatures w14:val="none"/>
        </w:rPr>
        <w:t xml:space="preserve"> Partly reversible</w:t>
      </w:r>
      <w:r w:rsidRPr="005F75FC">
        <w:rPr>
          <w:rFonts w:ascii="Times New Roman" w:eastAsia="Times New Roman" w:hAnsi="Times New Roman" w:cs="Times New Roman"/>
          <w:kern w:val="0"/>
          <w:lang w:eastAsia="el-GR"/>
          <w14:ligatures w14:val="none"/>
        </w:rPr>
        <w:br/>
      </w:r>
      <w:r w:rsidRPr="005F75FC">
        <w:rPr>
          <w:rFonts w:ascii="Times New Roman" w:eastAsia="Times New Roman" w:hAnsi="Times New Roman" w:cs="Times New Roman"/>
          <w:b/>
          <w:bCs/>
          <w:kern w:val="0"/>
          <w:lang w:eastAsia="el-GR"/>
          <w14:ligatures w14:val="none"/>
        </w:rPr>
        <w:t>Overall assessment:</w:t>
      </w:r>
      <w:r w:rsidRPr="005F75FC">
        <w:rPr>
          <w:rFonts w:ascii="Times New Roman" w:eastAsia="Times New Roman" w:hAnsi="Times New Roman" w:cs="Times New Roman"/>
          <w:kern w:val="0"/>
          <w:lang w:eastAsia="el-GR"/>
          <w14:ligatures w14:val="none"/>
        </w:rPr>
        <w:t xml:space="preserve"> Should be considered and checked, but not the main pathway unless evidence of active bleeding appears.</w:t>
      </w:r>
    </w:p>
    <w:p w14:paraId="4AADEACD"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7192A372">
          <v:rect id="_x0000_i1034" style="width:0;height:1.5pt" o:hralign="center" o:hrstd="t" o:hr="t" fillcolor="#a0a0a0" stroked="f"/>
        </w:pict>
      </w:r>
    </w:p>
    <w:p w14:paraId="0D15A267"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Option 2: Treat as neurogenic shock with respiratory failure; escalate vasopressors, secure airway, call senior consultants, and prepare for tension pneumothorax</w:t>
      </w:r>
    </w:p>
    <w:p w14:paraId="1203FA6D"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Description:</w:t>
      </w:r>
      <w:r w:rsidRPr="005F75FC">
        <w:rPr>
          <w:rFonts w:ascii="Times New Roman" w:eastAsia="Times New Roman" w:hAnsi="Times New Roman" w:cs="Times New Roman"/>
          <w:kern w:val="0"/>
          <w:lang w:eastAsia="el-GR"/>
          <w14:ligatures w14:val="none"/>
        </w:rPr>
        <w:t xml:space="preserve"> Recognize likely neurogenic shock and impending respiratory failure. Escalate vasopressor support to maintain perfusion, prepare controlled intubation with senior airway help, check both lungs/chest tubes before and after intubation, prepare immediate decompression/chest tube capability, and call trauma, ICU, anesthesia, and spine/neurosurgical teams.</w:t>
      </w:r>
    </w:p>
    <w:p w14:paraId="3DAAD322"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Advantages:</w:t>
      </w:r>
    </w:p>
    <w:p w14:paraId="5D728748" w14:textId="77777777" w:rsidR="005F75FC" w:rsidRPr="005F75FC" w:rsidRDefault="005F75FC" w:rsidP="005F75F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Matches the shock pattern: hypotension plus bradycardia. </w:t>
      </w:r>
    </w:p>
    <w:p w14:paraId="0DBCBD63" w14:textId="77777777" w:rsidR="005F75FC" w:rsidRPr="005F75FC" w:rsidRDefault="005F75FC" w:rsidP="005F75F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Addresses respiratory failure directly. </w:t>
      </w:r>
    </w:p>
    <w:p w14:paraId="1CBA257B" w14:textId="77777777" w:rsidR="005F75FC" w:rsidRPr="005F75FC" w:rsidRDefault="005F75FC" w:rsidP="005F75F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Protects spinal cord perfusion. </w:t>
      </w:r>
    </w:p>
    <w:p w14:paraId="2C3CA119" w14:textId="77777777" w:rsidR="005F75FC" w:rsidRPr="005F75FC" w:rsidRDefault="005F75FC" w:rsidP="005F75F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Anticipates the major post-intubation hazard: tension pneumothorax. </w:t>
      </w:r>
    </w:p>
    <w:p w14:paraId="2CFD0583" w14:textId="77777777" w:rsidR="005F75FC" w:rsidRPr="005F75FC" w:rsidRDefault="005F75FC" w:rsidP="005F75F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Does not ignore hemorrhage; it keeps hemorrhage reassessment active. </w:t>
      </w:r>
    </w:p>
    <w:p w14:paraId="01C94CBC"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lastRenderedPageBreak/>
        <w:t>Risks:</w:t>
      </w:r>
    </w:p>
    <w:p w14:paraId="2291691E" w14:textId="77777777" w:rsidR="005F75FC" w:rsidRPr="005F75FC" w:rsidRDefault="005F75FC" w:rsidP="005F75F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Intubation may precipitate hypotension or tension pneumothorax. </w:t>
      </w:r>
    </w:p>
    <w:p w14:paraId="3F7A6CCE" w14:textId="77777777" w:rsidR="005F75FC" w:rsidRPr="005F75FC" w:rsidRDefault="005F75FC" w:rsidP="005F75F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Vasopressor escalation without recognizing hemorrhage could be harmful if bleeding is actually dominant. </w:t>
      </w:r>
    </w:p>
    <w:p w14:paraId="56AD0190" w14:textId="77777777" w:rsidR="005F75FC" w:rsidRPr="005F75FC" w:rsidRDefault="005F75FC" w:rsidP="005F75F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Requires expert coordination. </w:t>
      </w:r>
    </w:p>
    <w:p w14:paraId="4621CC47"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Estimated utility:</w:t>
      </w:r>
      <w:r w:rsidRPr="005F75FC">
        <w:rPr>
          <w:rFonts w:ascii="Times New Roman" w:eastAsia="Times New Roman" w:hAnsi="Times New Roman" w:cs="Times New Roman"/>
          <w:kern w:val="0"/>
          <w:lang w:eastAsia="el-GR"/>
          <w14:ligatures w14:val="none"/>
        </w:rPr>
        <w:t xml:space="preserve"> 90/100</w:t>
      </w:r>
      <w:r w:rsidRPr="005F75FC">
        <w:rPr>
          <w:rFonts w:ascii="Times New Roman" w:eastAsia="Times New Roman" w:hAnsi="Times New Roman" w:cs="Times New Roman"/>
          <w:kern w:val="0"/>
          <w:lang w:eastAsia="el-GR"/>
          <w14:ligatures w14:val="none"/>
        </w:rPr>
        <w:br/>
      </w:r>
      <w:r w:rsidRPr="005F75FC">
        <w:rPr>
          <w:rFonts w:ascii="Times New Roman" w:eastAsia="Times New Roman" w:hAnsi="Times New Roman" w:cs="Times New Roman"/>
          <w:b/>
          <w:bCs/>
          <w:kern w:val="0"/>
          <w:lang w:eastAsia="el-GR"/>
          <w14:ligatures w14:val="none"/>
        </w:rPr>
        <w:t>Reversibility:</w:t>
      </w:r>
      <w:r w:rsidRPr="005F75FC">
        <w:rPr>
          <w:rFonts w:ascii="Times New Roman" w:eastAsia="Times New Roman" w:hAnsi="Times New Roman" w:cs="Times New Roman"/>
          <w:kern w:val="0"/>
          <w:lang w:eastAsia="el-GR"/>
          <w14:ligatures w14:val="none"/>
        </w:rPr>
        <w:t xml:space="preserve"> Low, because intubation is not easily reversible</w:t>
      </w:r>
      <w:r w:rsidRPr="005F75FC">
        <w:rPr>
          <w:rFonts w:ascii="Times New Roman" w:eastAsia="Times New Roman" w:hAnsi="Times New Roman" w:cs="Times New Roman"/>
          <w:kern w:val="0"/>
          <w:lang w:eastAsia="el-GR"/>
          <w14:ligatures w14:val="none"/>
        </w:rPr>
        <w:br/>
      </w:r>
      <w:r w:rsidRPr="005F75FC">
        <w:rPr>
          <w:rFonts w:ascii="Times New Roman" w:eastAsia="Times New Roman" w:hAnsi="Times New Roman" w:cs="Times New Roman"/>
          <w:b/>
          <w:bCs/>
          <w:kern w:val="0"/>
          <w:lang w:eastAsia="el-GR"/>
          <w14:ligatures w14:val="none"/>
        </w:rPr>
        <w:t>Overall assessment:</w:t>
      </w:r>
      <w:r w:rsidRPr="005F75FC">
        <w:rPr>
          <w:rFonts w:ascii="Times New Roman" w:eastAsia="Times New Roman" w:hAnsi="Times New Roman" w:cs="Times New Roman"/>
          <w:kern w:val="0"/>
          <w:lang w:eastAsia="el-GR"/>
          <w14:ligatures w14:val="none"/>
        </w:rPr>
        <w:t xml:space="preserve"> Best option, with extra scrutiny because the pathway is high-risk and airway intervention is irreversible in the short term.</w:t>
      </w:r>
    </w:p>
    <w:p w14:paraId="19A686E7"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21954593">
          <v:rect id="_x0000_i1035" style="width:0;height:1.5pt" o:hralign="center" o:hrstd="t" o:hr="t" fillcolor="#a0a0a0" stroked="f"/>
        </w:pict>
      </w:r>
    </w:p>
    <w:p w14:paraId="24920DDB"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Option 3: Delay intubation and continue non-rebreather oxygen while awaiting further investigations</w:t>
      </w:r>
    </w:p>
    <w:p w14:paraId="122A5E68"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Description:</w:t>
      </w:r>
      <w:r w:rsidRPr="005F75FC">
        <w:rPr>
          <w:rFonts w:ascii="Times New Roman" w:eastAsia="Times New Roman" w:hAnsi="Times New Roman" w:cs="Times New Roman"/>
          <w:kern w:val="0"/>
          <w:lang w:eastAsia="el-GR"/>
          <w14:ligatures w14:val="none"/>
        </w:rPr>
        <w:t xml:space="preserve"> Continue oxygen and vasopressors while obtaining more imaging/labs before airway intervention.</w:t>
      </w:r>
    </w:p>
    <w:p w14:paraId="7E747912"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Advantages:</w:t>
      </w:r>
    </w:p>
    <w:p w14:paraId="555597B5" w14:textId="77777777" w:rsidR="005F75FC" w:rsidRPr="005F75FC" w:rsidRDefault="005F75FC" w:rsidP="005F75FC">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Avoids immediate intubation complications. </w:t>
      </w:r>
    </w:p>
    <w:p w14:paraId="4FA9D172" w14:textId="77777777" w:rsidR="005F75FC" w:rsidRPr="005F75FC" w:rsidRDefault="005F75FC" w:rsidP="005F75FC">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May clarify bleeding, pneumothorax progression, or other causes. </w:t>
      </w:r>
    </w:p>
    <w:p w14:paraId="40D4E253"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Risks:</w:t>
      </w:r>
    </w:p>
    <w:p w14:paraId="41FB50CF" w14:textId="77777777" w:rsidR="005F75FC" w:rsidRPr="005F75FC" w:rsidRDefault="005F75FC" w:rsidP="005F75F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Patient already has GCS 9 and respiratory distress. </w:t>
      </w:r>
    </w:p>
    <w:p w14:paraId="6157FA0D" w14:textId="77777777" w:rsidR="005F75FC" w:rsidRPr="005F75FC" w:rsidRDefault="005F75FC" w:rsidP="005F75F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High oxygen requirement with SpO₂ only 93%. </w:t>
      </w:r>
    </w:p>
    <w:p w14:paraId="0720B14C" w14:textId="77777777" w:rsidR="005F75FC" w:rsidRPr="005F75FC" w:rsidRDefault="005F75FC" w:rsidP="005F75F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Delayed intubation may lead to crash airway. </w:t>
      </w:r>
    </w:p>
    <w:p w14:paraId="0C3E6BA8" w14:textId="77777777" w:rsidR="005F75FC" w:rsidRPr="005F75FC" w:rsidRDefault="005F75FC" w:rsidP="005F75F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Could miss rapidly evolving tension physiology. </w:t>
      </w:r>
    </w:p>
    <w:p w14:paraId="51B4C49A" w14:textId="77777777" w:rsidR="005F75FC" w:rsidRPr="005F75FC" w:rsidRDefault="005F75FC" w:rsidP="005F75F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Could worsen secondary spinal cord injury through hypoxia and hypotension. </w:t>
      </w:r>
    </w:p>
    <w:p w14:paraId="1EE7271B"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Estimated utility:</w:t>
      </w:r>
      <w:r w:rsidRPr="005F75FC">
        <w:rPr>
          <w:rFonts w:ascii="Times New Roman" w:eastAsia="Times New Roman" w:hAnsi="Times New Roman" w:cs="Times New Roman"/>
          <w:kern w:val="0"/>
          <w:lang w:eastAsia="el-GR"/>
          <w14:ligatures w14:val="none"/>
        </w:rPr>
        <w:t xml:space="preserve"> 35/100</w:t>
      </w:r>
      <w:r w:rsidRPr="005F75FC">
        <w:rPr>
          <w:rFonts w:ascii="Times New Roman" w:eastAsia="Times New Roman" w:hAnsi="Times New Roman" w:cs="Times New Roman"/>
          <w:kern w:val="0"/>
          <w:lang w:eastAsia="el-GR"/>
          <w14:ligatures w14:val="none"/>
        </w:rPr>
        <w:br/>
      </w:r>
      <w:r w:rsidRPr="005F75FC">
        <w:rPr>
          <w:rFonts w:ascii="Times New Roman" w:eastAsia="Times New Roman" w:hAnsi="Times New Roman" w:cs="Times New Roman"/>
          <w:b/>
          <w:bCs/>
          <w:kern w:val="0"/>
          <w:lang w:eastAsia="el-GR"/>
          <w14:ligatures w14:val="none"/>
        </w:rPr>
        <w:t>Reversibility:</w:t>
      </w:r>
      <w:r w:rsidRPr="005F75FC">
        <w:rPr>
          <w:rFonts w:ascii="Times New Roman" w:eastAsia="Times New Roman" w:hAnsi="Times New Roman" w:cs="Times New Roman"/>
          <w:kern w:val="0"/>
          <w:lang w:eastAsia="el-GR"/>
          <w14:ligatures w14:val="none"/>
        </w:rPr>
        <w:t xml:space="preserve"> Moderate</w:t>
      </w:r>
      <w:r w:rsidRPr="005F75FC">
        <w:rPr>
          <w:rFonts w:ascii="Times New Roman" w:eastAsia="Times New Roman" w:hAnsi="Times New Roman" w:cs="Times New Roman"/>
          <w:kern w:val="0"/>
          <w:lang w:eastAsia="el-GR"/>
          <w14:ligatures w14:val="none"/>
        </w:rPr>
        <w:br/>
      </w:r>
      <w:r w:rsidRPr="005F75FC">
        <w:rPr>
          <w:rFonts w:ascii="Times New Roman" w:eastAsia="Times New Roman" w:hAnsi="Times New Roman" w:cs="Times New Roman"/>
          <w:b/>
          <w:bCs/>
          <w:kern w:val="0"/>
          <w:lang w:eastAsia="el-GR"/>
          <w14:ligatures w14:val="none"/>
        </w:rPr>
        <w:t>Overall assessment:</w:t>
      </w:r>
      <w:r w:rsidRPr="005F75FC">
        <w:rPr>
          <w:rFonts w:ascii="Times New Roman" w:eastAsia="Times New Roman" w:hAnsi="Times New Roman" w:cs="Times New Roman"/>
          <w:kern w:val="0"/>
          <w:lang w:eastAsia="el-GR"/>
          <w14:ligatures w14:val="none"/>
        </w:rPr>
        <w:t xml:space="preserve"> Not recommended unless the patient rapidly improves and senior clinicians judge airway control unnecessary.</w:t>
      </w:r>
    </w:p>
    <w:p w14:paraId="24D40483"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769AE74D">
          <v:rect id="_x0000_i1036" style="width:0;height:1.5pt" o:hralign="center" o:hrstd="t" o:hr="t" fillcolor="#a0a0a0" stroked="f"/>
        </w:pict>
      </w:r>
    </w:p>
    <w:p w14:paraId="74BDD6ED"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559"/>
        <w:gridCol w:w="2095"/>
        <w:gridCol w:w="727"/>
        <w:gridCol w:w="1875"/>
      </w:tblGrid>
      <w:tr w:rsidR="005F75FC" w:rsidRPr="005F75FC" w14:paraId="402E2ED9" w14:textId="77777777">
        <w:trPr>
          <w:tblHeader/>
          <w:tblCellSpacing w:w="15" w:type="dxa"/>
        </w:trPr>
        <w:tc>
          <w:tcPr>
            <w:tcW w:w="0" w:type="auto"/>
            <w:vAlign w:val="center"/>
            <w:hideMark/>
          </w:tcPr>
          <w:p w14:paraId="31EB2AEC" w14:textId="77777777" w:rsidR="005F75FC" w:rsidRPr="005F75FC" w:rsidRDefault="005F75FC" w:rsidP="005F75FC">
            <w:pPr>
              <w:jc w:val="center"/>
              <w:rPr>
                <w:rFonts w:ascii="Times New Roman" w:eastAsia="Times New Roman" w:hAnsi="Times New Roman" w:cs="Times New Roman"/>
                <w:b/>
                <w:bCs/>
                <w:kern w:val="0"/>
                <w:lang w:eastAsia="el-GR"/>
                <w14:ligatures w14:val="none"/>
              </w:rPr>
            </w:pPr>
            <w:r w:rsidRPr="005F75FC">
              <w:rPr>
                <w:rFonts w:ascii="Times New Roman" w:eastAsia="Times New Roman" w:hAnsi="Times New Roman" w:cs="Times New Roman"/>
                <w:b/>
                <w:bCs/>
                <w:kern w:val="0"/>
                <w:lang w:eastAsia="el-GR"/>
                <w14:ligatures w14:val="none"/>
              </w:rPr>
              <w:t>Option</w:t>
            </w:r>
          </w:p>
        </w:tc>
        <w:tc>
          <w:tcPr>
            <w:tcW w:w="0" w:type="auto"/>
            <w:vAlign w:val="center"/>
            <w:hideMark/>
          </w:tcPr>
          <w:p w14:paraId="25DA7E12" w14:textId="77777777" w:rsidR="005F75FC" w:rsidRPr="005F75FC" w:rsidRDefault="005F75FC" w:rsidP="005F75FC">
            <w:pPr>
              <w:jc w:val="center"/>
              <w:rPr>
                <w:rFonts w:ascii="Times New Roman" w:eastAsia="Times New Roman" w:hAnsi="Times New Roman" w:cs="Times New Roman"/>
                <w:b/>
                <w:bCs/>
                <w:kern w:val="0"/>
                <w:lang w:eastAsia="el-GR"/>
                <w14:ligatures w14:val="none"/>
              </w:rPr>
            </w:pPr>
            <w:r w:rsidRPr="005F75FC">
              <w:rPr>
                <w:rFonts w:ascii="Times New Roman" w:eastAsia="Times New Roman" w:hAnsi="Times New Roman" w:cs="Times New Roman"/>
                <w:b/>
                <w:bCs/>
                <w:kern w:val="0"/>
                <w:lang w:eastAsia="el-GR"/>
                <w14:ligatures w14:val="none"/>
              </w:rPr>
              <w:t>Main Benefit</w:t>
            </w:r>
          </w:p>
        </w:tc>
        <w:tc>
          <w:tcPr>
            <w:tcW w:w="0" w:type="auto"/>
            <w:vAlign w:val="center"/>
            <w:hideMark/>
          </w:tcPr>
          <w:p w14:paraId="4A234650" w14:textId="77777777" w:rsidR="005F75FC" w:rsidRPr="005F75FC" w:rsidRDefault="005F75FC" w:rsidP="005F75FC">
            <w:pPr>
              <w:jc w:val="center"/>
              <w:rPr>
                <w:rFonts w:ascii="Times New Roman" w:eastAsia="Times New Roman" w:hAnsi="Times New Roman" w:cs="Times New Roman"/>
                <w:b/>
                <w:bCs/>
                <w:kern w:val="0"/>
                <w:lang w:eastAsia="el-GR"/>
                <w14:ligatures w14:val="none"/>
              </w:rPr>
            </w:pPr>
            <w:r w:rsidRPr="005F75FC">
              <w:rPr>
                <w:rFonts w:ascii="Times New Roman" w:eastAsia="Times New Roman" w:hAnsi="Times New Roman" w:cs="Times New Roman"/>
                <w:b/>
                <w:bCs/>
                <w:kern w:val="0"/>
                <w:lang w:eastAsia="el-GR"/>
                <w14:ligatures w14:val="none"/>
              </w:rPr>
              <w:t>Main Risk</w:t>
            </w:r>
          </w:p>
        </w:tc>
        <w:tc>
          <w:tcPr>
            <w:tcW w:w="0" w:type="auto"/>
            <w:vAlign w:val="center"/>
            <w:hideMark/>
          </w:tcPr>
          <w:p w14:paraId="464D59BB" w14:textId="77777777" w:rsidR="005F75FC" w:rsidRPr="005F75FC" w:rsidRDefault="005F75FC" w:rsidP="005F75FC">
            <w:pPr>
              <w:jc w:val="center"/>
              <w:rPr>
                <w:rFonts w:ascii="Times New Roman" w:eastAsia="Times New Roman" w:hAnsi="Times New Roman" w:cs="Times New Roman"/>
                <w:b/>
                <w:bCs/>
                <w:kern w:val="0"/>
                <w:lang w:eastAsia="el-GR"/>
                <w14:ligatures w14:val="none"/>
              </w:rPr>
            </w:pPr>
            <w:r w:rsidRPr="005F75FC">
              <w:rPr>
                <w:rFonts w:ascii="Times New Roman" w:eastAsia="Times New Roman" w:hAnsi="Times New Roman" w:cs="Times New Roman"/>
                <w:b/>
                <w:bCs/>
                <w:kern w:val="0"/>
                <w:lang w:eastAsia="el-GR"/>
                <w14:ligatures w14:val="none"/>
              </w:rPr>
              <w:t>Utility</w:t>
            </w:r>
          </w:p>
        </w:tc>
        <w:tc>
          <w:tcPr>
            <w:tcW w:w="0" w:type="auto"/>
            <w:vAlign w:val="center"/>
            <w:hideMark/>
          </w:tcPr>
          <w:p w14:paraId="20783FA4" w14:textId="77777777" w:rsidR="005F75FC" w:rsidRPr="005F75FC" w:rsidRDefault="005F75FC" w:rsidP="005F75FC">
            <w:pPr>
              <w:jc w:val="center"/>
              <w:rPr>
                <w:rFonts w:ascii="Times New Roman" w:eastAsia="Times New Roman" w:hAnsi="Times New Roman" w:cs="Times New Roman"/>
                <w:b/>
                <w:bCs/>
                <w:kern w:val="0"/>
                <w:lang w:eastAsia="el-GR"/>
                <w14:ligatures w14:val="none"/>
              </w:rPr>
            </w:pPr>
            <w:r w:rsidRPr="005F75FC">
              <w:rPr>
                <w:rFonts w:ascii="Times New Roman" w:eastAsia="Times New Roman" w:hAnsi="Times New Roman" w:cs="Times New Roman"/>
                <w:b/>
                <w:bCs/>
                <w:kern w:val="0"/>
                <w:lang w:eastAsia="el-GR"/>
                <w14:ligatures w14:val="none"/>
              </w:rPr>
              <w:t>Recommendation</w:t>
            </w:r>
          </w:p>
        </w:tc>
      </w:tr>
      <w:tr w:rsidR="005F75FC" w:rsidRPr="005F75FC" w14:paraId="38F68D80" w14:textId="77777777">
        <w:trPr>
          <w:tblCellSpacing w:w="15" w:type="dxa"/>
        </w:trPr>
        <w:tc>
          <w:tcPr>
            <w:tcW w:w="0" w:type="auto"/>
            <w:vAlign w:val="center"/>
            <w:hideMark/>
          </w:tcPr>
          <w:p w14:paraId="46C8247B"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Hemorrhage-first fluids/blood</w:t>
            </w:r>
          </w:p>
        </w:tc>
        <w:tc>
          <w:tcPr>
            <w:tcW w:w="0" w:type="auto"/>
            <w:vAlign w:val="center"/>
            <w:hideMark/>
          </w:tcPr>
          <w:p w14:paraId="072C60DF"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Covers occult bleeding</w:t>
            </w:r>
          </w:p>
        </w:tc>
        <w:tc>
          <w:tcPr>
            <w:tcW w:w="0" w:type="auto"/>
            <w:vAlign w:val="center"/>
            <w:hideMark/>
          </w:tcPr>
          <w:p w14:paraId="4C8D0ADA"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Delays airway and neurogenic shock treatment</w:t>
            </w:r>
          </w:p>
        </w:tc>
        <w:tc>
          <w:tcPr>
            <w:tcW w:w="0" w:type="auto"/>
            <w:vAlign w:val="center"/>
            <w:hideMark/>
          </w:tcPr>
          <w:p w14:paraId="59E61DBE"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55/100</w:t>
            </w:r>
          </w:p>
        </w:tc>
        <w:tc>
          <w:tcPr>
            <w:tcW w:w="0" w:type="auto"/>
            <w:vAlign w:val="center"/>
            <w:hideMark/>
          </w:tcPr>
          <w:p w14:paraId="6C0FE5FA"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Conditional</w:t>
            </w:r>
          </w:p>
        </w:tc>
      </w:tr>
      <w:tr w:rsidR="005F75FC" w:rsidRPr="005F75FC" w14:paraId="4D40DD0F" w14:textId="77777777">
        <w:trPr>
          <w:tblCellSpacing w:w="15" w:type="dxa"/>
        </w:trPr>
        <w:tc>
          <w:tcPr>
            <w:tcW w:w="0" w:type="auto"/>
            <w:vAlign w:val="center"/>
            <w:hideMark/>
          </w:tcPr>
          <w:p w14:paraId="659F2DB5"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lastRenderedPageBreak/>
              <w:t>Neurogenic shock + respiratory failure pathway</w:t>
            </w:r>
          </w:p>
        </w:tc>
        <w:tc>
          <w:tcPr>
            <w:tcW w:w="0" w:type="auto"/>
            <w:vAlign w:val="center"/>
            <w:hideMark/>
          </w:tcPr>
          <w:p w14:paraId="26A95A2A"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Treats most likely combined threat</w:t>
            </w:r>
          </w:p>
        </w:tc>
        <w:tc>
          <w:tcPr>
            <w:tcW w:w="0" w:type="auto"/>
            <w:vAlign w:val="center"/>
            <w:hideMark/>
          </w:tcPr>
          <w:p w14:paraId="49F4B5D4"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Intubation and pneumothorax complications</w:t>
            </w:r>
          </w:p>
        </w:tc>
        <w:tc>
          <w:tcPr>
            <w:tcW w:w="0" w:type="auto"/>
            <w:vAlign w:val="center"/>
            <w:hideMark/>
          </w:tcPr>
          <w:p w14:paraId="4BF0652D"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90/100</w:t>
            </w:r>
          </w:p>
        </w:tc>
        <w:tc>
          <w:tcPr>
            <w:tcW w:w="0" w:type="auto"/>
            <w:vAlign w:val="center"/>
            <w:hideMark/>
          </w:tcPr>
          <w:p w14:paraId="60663D0C"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Recommended</w:t>
            </w:r>
          </w:p>
        </w:tc>
      </w:tr>
      <w:tr w:rsidR="005F75FC" w:rsidRPr="005F75FC" w14:paraId="1AFE90CE" w14:textId="77777777">
        <w:trPr>
          <w:tblCellSpacing w:w="15" w:type="dxa"/>
        </w:trPr>
        <w:tc>
          <w:tcPr>
            <w:tcW w:w="0" w:type="auto"/>
            <w:vAlign w:val="center"/>
            <w:hideMark/>
          </w:tcPr>
          <w:p w14:paraId="4C6D7146"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Delay intubation for more workup</w:t>
            </w:r>
          </w:p>
        </w:tc>
        <w:tc>
          <w:tcPr>
            <w:tcW w:w="0" w:type="auto"/>
            <w:vAlign w:val="center"/>
            <w:hideMark/>
          </w:tcPr>
          <w:p w14:paraId="1D9F68B1"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Avoids immediate airway risk</w:t>
            </w:r>
          </w:p>
        </w:tc>
        <w:tc>
          <w:tcPr>
            <w:tcW w:w="0" w:type="auto"/>
            <w:vAlign w:val="center"/>
            <w:hideMark/>
          </w:tcPr>
          <w:p w14:paraId="0780151D"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Crash deterioration</w:t>
            </w:r>
          </w:p>
        </w:tc>
        <w:tc>
          <w:tcPr>
            <w:tcW w:w="0" w:type="auto"/>
            <w:vAlign w:val="center"/>
            <w:hideMark/>
          </w:tcPr>
          <w:p w14:paraId="57B69F99"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35/100</w:t>
            </w:r>
          </w:p>
        </w:tc>
        <w:tc>
          <w:tcPr>
            <w:tcW w:w="0" w:type="auto"/>
            <w:vAlign w:val="center"/>
            <w:hideMark/>
          </w:tcPr>
          <w:p w14:paraId="141594EA"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Not recommended</w:t>
            </w:r>
          </w:p>
        </w:tc>
      </w:tr>
    </w:tbl>
    <w:p w14:paraId="3305E05D"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2FA85914">
          <v:rect id="_x0000_i1037" style="width:0;height:1.5pt" o:hralign="center" o:hrstd="t" o:hr="t" fillcolor="#a0a0a0" stroked="f"/>
        </w:pict>
      </w:r>
    </w:p>
    <w:p w14:paraId="037D2C1A"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10. Recommended Decision</w:t>
      </w:r>
    </w:p>
    <w:p w14:paraId="74118C87"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recommended course of action is:</w:t>
      </w:r>
    </w:p>
    <w:p w14:paraId="604901E4"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b/>
          <w:bCs/>
          <w:kern w:val="0"/>
          <w:lang w:eastAsia="el-GR"/>
          <w14:ligatures w14:val="none"/>
        </w:rPr>
        <w:t>Treat the deterioration as neurogenic shock with impending respiratory failure, while continuing active surveillance for hemorrhage. Escalate vasopressor support, prepare controlled intubation with senior help, verify chest tube function, prepare for immediate management of tension pneumothorax, and urgently involve ICU, anesthesia, trauma, and spine/neurosurgical consultants.</w:t>
      </w:r>
    </w:p>
    <w:p w14:paraId="6BDA626A"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rationale is that the combination of hypotension, bradycardia, warm extremities, high thoracic spinal injury, respiratory distress, and falling GCS is more consistent with neurogenic shock plus respiratory failure than primary hemorrhagic shock.</w:t>
      </w:r>
    </w:p>
    <w:p w14:paraId="33FE6D80" w14:textId="77777777" w:rsidR="005F75FC" w:rsidRPr="005F75FC" w:rsidRDefault="005F75FC" w:rsidP="005F75FC">
      <w:pPr>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pict w14:anchorId="686E2184">
          <v:rect id="_x0000_i1038" style="width:0;height:1.5pt" o:hralign="center" o:hrstd="t" o:hr="t" fillcolor="#a0a0a0" stroked="f"/>
        </w:pict>
      </w:r>
    </w:p>
    <w:p w14:paraId="42BB9E0B"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11. Practical Action Sequence</w:t>
      </w:r>
    </w:p>
    <w:p w14:paraId="32AADDF8"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team should proceed as follows:</w:t>
      </w:r>
    </w:p>
    <w:p w14:paraId="601241FE"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Call for senior help immediately: ICU consultant, anesthetist, trauma surgeon, and spine/neurosurgery. </w:t>
      </w:r>
    </w:p>
    <w:p w14:paraId="377A9161"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Assign a team leader and prepare for controlled airway management. </w:t>
      </w:r>
    </w:p>
    <w:p w14:paraId="7428037D"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Reassess airway, breathing, circulation, disability, and exposure. </w:t>
      </w:r>
    </w:p>
    <w:p w14:paraId="3E1AB6AA"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Check right chest tube position, patency, bubbling/swinging, and output. </w:t>
      </w:r>
    </w:p>
    <w:p w14:paraId="21DE72F3"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Reassess the occult left pneumothorax with bedside ultrasound or immediate portable chest imaging if this does not delay urgent airway control. </w:t>
      </w:r>
    </w:p>
    <w:p w14:paraId="6DEC89EC"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Prepare equipment and personnel for immediate left-sided decompression or chest tube if tension physiology develops. </w:t>
      </w:r>
    </w:p>
    <w:p w14:paraId="26742509"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Prepare for intubation as a high-risk airway. </w:t>
      </w:r>
    </w:p>
    <w:p w14:paraId="50BD9F50"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Pre-oxygenate as effectively as possible. </w:t>
      </w:r>
    </w:p>
    <w:p w14:paraId="1595A020"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Optimize blood pressure before induction with vasopressors and appropriate fluid/blood only if indicated. </w:t>
      </w:r>
    </w:p>
    <w:p w14:paraId="282C99DC"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Use a hemodynamically cautious induction strategy under senior anesthetic/ICU supervision. </w:t>
      </w:r>
    </w:p>
    <w:p w14:paraId="5217432B"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lastRenderedPageBreak/>
        <w:t xml:space="preserve">After intubation, immediately reassess blood pressure, oxygen saturation, airway pressures, bilateral breath sounds, chest tube function, and signs of tension pneumothorax. </w:t>
      </w:r>
    </w:p>
    <w:p w14:paraId="6178B5F1"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If sudden post-intubation hypoxia, hypotension, high airway pressures, or unilateral breath sounds occur, treat tension pneumothorax immediately. </w:t>
      </w:r>
    </w:p>
    <w:p w14:paraId="6EE8B8E9"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Continue norepinephrine or other vasopressor strategy according to local ICU/spinal cord injury protocol. </w:t>
      </w:r>
    </w:p>
    <w:p w14:paraId="710AC518"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Target adequate MAP for spinal cord perfusion and avoid recurrent hypotension. </w:t>
      </w:r>
    </w:p>
    <w:p w14:paraId="45380CB3"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Check hemoglobin, lactate/base deficit, coagulation, chest tube output, abdominal status, and imaging to ensure hemorrhage is not being missed. </w:t>
      </w:r>
    </w:p>
    <w:p w14:paraId="124C06EC" w14:textId="77777777" w:rsidR="005F75FC" w:rsidRPr="005F75FC" w:rsidRDefault="005F75FC" w:rsidP="005F75F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Expedite definitive spinal stabilization when physiologically safe. </w:t>
      </w:r>
    </w:p>
    <w:p w14:paraId="09B241B0" w14:textId="77777777" w:rsidR="005F75FC" w:rsidRPr="005F75FC" w:rsidRDefault="00596BE2" w:rsidP="005F75FC">
      <w:pPr>
        <w:rPr>
          <w:rFonts w:ascii="Times New Roman" w:eastAsia="Times New Roman" w:hAnsi="Times New Roman" w:cs="Times New Roman"/>
          <w:kern w:val="0"/>
          <w:lang w:eastAsia="el-GR"/>
          <w14:ligatures w14:val="none"/>
        </w:rPr>
      </w:pPr>
      <w:r w:rsidRPr="00596BE2">
        <w:rPr>
          <w:rFonts w:ascii="Times New Roman" w:eastAsia="Times New Roman" w:hAnsi="Times New Roman" w:cs="Times New Roman"/>
          <w:noProof/>
          <w:kern w:val="0"/>
          <w:lang w:eastAsia="el-GR"/>
        </w:rPr>
        <w:pict w14:anchorId="24B5F105">
          <v:rect id="_x0000_i1042" alt="" style="width:414.9pt;height:.05pt;mso-width-percent:0;mso-height-percent:0;mso-width-percent:0;mso-height-percent:0" o:hrpct="999" o:hralign="center" o:hrstd="t" o:hr="t" fillcolor="#a0a0a0" stroked="f"/>
        </w:pict>
      </w:r>
    </w:p>
    <w:p w14:paraId="168EA806"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12. Key Risks</w:t>
      </w:r>
    </w:p>
    <w:p w14:paraId="79D0B2A9"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Immediate risks</w:t>
      </w:r>
    </w:p>
    <w:p w14:paraId="5662FE58"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Respiratory arrest </w:t>
      </w:r>
    </w:p>
    <w:p w14:paraId="2EC46709"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Failed or crash intubation </w:t>
      </w:r>
    </w:p>
    <w:p w14:paraId="3FB1A1C8"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Post-intubation tension pneumothorax </w:t>
      </w:r>
    </w:p>
    <w:p w14:paraId="1C984382"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Worsening neurogenic shock </w:t>
      </w:r>
    </w:p>
    <w:p w14:paraId="1862A181"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Cardiac arrest from hypoxia or hypotension </w:t>
      </w:r>
    </w:p>
    <w:p w14:paraId="1ADA8C16"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Missed hemorrhage </w:t>
      </w:r>
    </w:p>
    <w:p w14:paraId="4D3CE0A3"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Secondary spinal cord injury from hypotension </w:t>
      </w:r>
    </w:p>
    <w:p w14:paraId="3382B358" w14:textId="77777777" w:rsidR="005F75FC" w:rsidRPr="005F75FC" w:rsidRDefault="005F75FC" w:rsidP="005F75F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Worsening flail chest physiology </w:t>
      </w:r>
    </w:p>
    <w:p w14:paraId="3827008D"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Risk of the recommended option</w:t>
      </w:r>
    </w:p>
    <w:p w14:paraId="4B4CE2EF"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major risk of the recommended pathway is that intubation and positive-pressure ventilation may worsen an occult pneumothorax or reveal an inadequately drained pneumothorax, causing sudden tension physiology.</w:t>
      </w:r>
    </w:p>
    <w:p w14:paraId="5FAAD020" w14:textId="77777777" w:rsidR="005F75FC" w:rsidRPr="005F75FC" w:rsidRDefault="005F75FC" w:rsidP="005F75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F75FC">
        <w:rPr>
          <w:rFonts w:ascii="Times New Roman" w:eastAsia="Times New Roman" w:hAnsi="Times New Roman" w:cs="Times New Roman"/>
          <w:b/>
          <w:bCs/>
          <w:kern w:val="0"/>
          <w:sz w:val="36"/>
          <w:szCs w:val="36"/>
          <w:lang w:eastAsia="el-GR"/>
          <w14:ligatures w14:val="none"/>
        </w:rPr>
        <w:t>Risk of the hemorrhage-first option</w:t>
      </w:r>
    </w:p>
    <w:p w14:paraId="36FF4BA5"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The major risk of treating this primarily as hemorrhage is delayed airway control and delayed correction of neurogenic shock physiology.</w:t>
      </w:r>
    </w:p>
    <w:p w14:paraId="7B05C19E" w14:textId="77777777" w:rsidR="005F75FC" w:rsidRPr="005F75FC" w:rsidRDefault="00596BE2" w:rsidP="005F75FC">
      <w:pPr>
        <w:rPr>
          <w:rFonts w:ascii="Times New Roman" w:eastAsia="Times New Roman" w:hAnsi="Times New Roman" w:cs="Times New Roman"/>
          <w:kern w:val="0"/>
          <w:lang w:eastAsia="el-GR"/>
          <w14:ligatures w14:val="none"/>
        </w:rPr>
      </w:pPr>
      <w:r w:rsidRPr="00596BE2">
        <w:rPr>
          <w:rFonts w:ascii="Times New Roman" w:eastAsia="Times New Roman" w:hAnsi="Times New Roman" w:cs="Times New Roman"/>
          <w:noProof/>
          <w:kern w:val="0"/>
          <w:lang w:eastAsia="el-GR"/>
        </w:rPr>
        <w:pict w14:anchorId="277DA5A8">
          <v:rect id="_x0000_i1041" alt="" style="width:414.9pt;height:.05pt;mso-width-percent:0;mso-height-percent:0;mso-width-percent:0;mso-height-percent:0" o:hrpct="999" o:hralign="center" o:hrstd="t" o:hr="t" fillcolor="#a0a0a0" stroked="f"/>
        </w:pict>
      </w:r>
    </w:p>
    <w:p w14:paraId="26E1D1F2"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F75FC">
        <w:rPr>
          <w:rFonts w:ascii="Times New Roman" w:eastAsia="Times New Roman" w:hAnsi="Times New Roman" w:cs="Times New Roman"/>
          <w:b/>
          <w:bCs/>
          <w:kern w:val="36"/>
          <w:sz w:val="48"/>
          <w:szCs w:val="48"/>
          <w:lang w:eastAsia="el-GR"/>
          <w14:ligatures w14:val="none"/>
        </w:rPr>
        <w:t>13. Residual Risk After Decision</w:t>
      </w:r>
    </w:p>
    <w:p w14:paraId="403FFB05"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Even after choosing the recommended pathway, residual risk remains high because:</w:t>
      </w:r>
    </w:p>
    <w:p w14:paraId="718DBAF1" w14:textId="77777777" w:rsidR="005F75FC" w:rsidRPr="005F75FC" w:rsidRDefault="005F75FC" w:rsidP="005F75F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The patient is already hypotensive on norepinephrine. </w:t>
      </w:r>
    </w:p>
    <w:p w14:paraId="65499E5E" w14:textId="77777777" w:rsidR="005F75FC" w:rsidRPr="005F75FC" w:rsidRDefault="005F75FC" w:rsidP="005F75F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lastRenderedPageBreak/>
        <w:t xml:space="preserve">GCS is reduced to 9. </w:t>
      </w:r>
    </w:p>
    <w:p w14:paraId="544D6EDD" w14:textId="77777777" w:rsidR="005F75FC" w:rsidRPr="005F75FC" w:rsidRDefault="005F75FC" w:rsidP="005F75FC">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The flail chest may make ventilation difficult. </w:t>
      </w:r>
    </w:p>
    <w:p w14:paraId="39A2F1A6" w14:textId="77777777" w:rsidR="005F75FC" w:rsidRPr="005F75FC" w:rsidRDefault="005F75FC" w:rsidP="005F75FC">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The occult left pneumothorax may expand after positive-pressure ventilation. </w:t>
      </w:r>
    </w:p>
    <w:p w14:paraId="3B1D2D38" w14:textId="77777777" w:rsidR="005F75FC" w:rsidRPr="005F75FC" w:rsidRDefault="005F75FC" w:rsidP="005F75FC">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The right chest tube may fail or be insufficient. </w:t>
      </w:r>
    </w:p>
    <w:p w14:paraId="695C94DC" w14:textId="77777777" w:rsidR="005F75FC" w:rsidRPr="005F75FC" w:rsidRDefault="005F75FC" w:rsidP="005F75FC">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Occult hemorrhage from liver injury or another source remains possible. </w:t>
      </w:r>
    </w:p>
    <w:p w14:paraId="1FC79BC2" w14:textId="77777777" w:rsidR="005F75FC" w:rsidRPr="005F75FC" w:rsidRDefault="005F75FC" w:rsidP="005F75FC">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Spinal cord perfusion may remain inadequate despite vasopressors. </w:t>
      </w:r>
    </w:p>
    <w:p w14:paraId="47AF212A" w14:textId="77777777" w:rsidR="005F75FC" w:rsidRPr="005F75FC" w:rsidRDefault="00596BE2" w:rsidP="005F75FC">
      <w:pPr>
        <w:rPr>
          <w:rFonts w:ascii="Times New Roman" w:eastAsia="Times New Roman" w:hAnsi="Times New Roman" w:cs="Times New Roman"/>
          <w:kern w:val="0"/>
          <w:lang w:eastAsia="el-GR"/>
          <w14:ligatures w14:val="none"/>
        </w:rPr>
      </w:pPr>
      <w:r w:rsidRPr="00596BE2">
        <w:rPr>
          <w:rFonts w:ascii="Times New Roman" w:eastAsia="Times New Roman" w:hAnsi="Times New Roman" w:cs="Times New Roman"/>
          <w:noProof/>
          <w:kern w:val="0"/>
          <w:lang w:eastAsia="el-GR"/>
        </w:rPr>
        <w:pict w14:anchorId="5DBA8839">
          <v:rect id="_x0000_i1040" alt="" style="width:414.9pt;height:.05pt;mso-width-percent:0;mso-height-percent:0;mso-width-percent:0;mso-height-percent:0" o:hrpct="999" o:hralign="center" o:hrstd="t" o:hr="t" fillcolor="#a0a0a0" stroked="f"/>
        </w:pict>
      </w:r>
    </w:p>
    <w:p w14:paraId="2498313C"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F75FC">
        <w:rPr>
          <w:rFonts w:ascii="Times New Roman" w:eastAsia="Times New Roman" w:hAnsi="Times New Roman" w:cs="Times New Roman"/>
          <w:b/>
          <w:bCs/>
          <w:kern w:val="36"/>
          <w:sz w:val="48"/>
          <w:szCs w:val="48"/>
          <w:lang w:val="en-US" w:eastAsia="el-GR"/>
          <w14:ligatures w14:val="none"/>
        </w:rPr>
        <w:t>14. Confidence Level</w:t>
      </w:r>
    </w:p>
    <w:p w14:paraId="7DA590A0"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Decision confidence: 0.84</w:t>
      </w:r>
    </w:p>
    <w:p w14:paraId="53AA556A"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This is a strong recommendation because the shock pattern and respiratory deterioration fit neurogenic shock with impending respiratory failure better than isolated hemorrhage.</w:t>
      </w:r>
    </w:p>
    <w:p w14:paraId="489BB71F"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The decision would change if there were clear evidence of active hemorrhage, such as:</w:t>
      </w:r>
    </w:p>
    <w:p w14:paraId="18CD0485" w14:textId="77777777" w:rsidR="005F75FC" w:rsidRPr="005F75FC" w:rsidRDefault="005F75FC" w:rsidP="005F75F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F75FC">
        <w:rPr>
          <w:rFonts w:ascii="Times New Roman" w:eastAsia="Times New Roman" w:hAnsi="Times New Roman" w:cs="Times New Roman"/>
          <w:kern w:val="0"/>
          <w:lang w:eastAsia="el-GR"/>
          <w14:ligatures w14:val="none"/>
        </w:rPr>
        <w:t xml:space="preserve">Rapidly falling hemoglobin. </w:t>
      </w:r>
    </w:p>
    <w:p w14:paraId="0C331725" w14:textId="77777777" w:rsidR="005F75FC" w:rsidRPr="005F75FC" w:rsidRDefault="005F75FC" w:rsidP="005F75FC">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High-volume chest tube output. </w:t>
      </w:r>
    </w:p>
    <w:p w14:paraId="1F0B9C18" w14:textId="77777777" w:rsidR="005F75FC" w:rsidRPr="005F75FC" w:rsidRDefault="005F75FC" w:rsidP="005F75FC">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Positive FAST/eFAST with hemodynamic instability. </w:t>
      </w:r>
    </w:p>
    <w:p w14:paraId="1B6FFA4C" w14:textId="77777777" w:rsidR="005F75FC" w:rsidRPr="005F75FC" w:rsidRDefault="005F75FC" w:rsidP="005F75FC">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Increasing abdominal distension or tenderness. </w:t>
      </w:r>
    </w:p>
    <w:p w14:paraId="31E1E437" w14:textId="77777777" w:rsidR="005F75FC" w:rsidRPr="005F75FC" w:rsidRDefault="005F75FC" w:rsidP="005F75FC">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Cold clammy extremities with tachycardic shock. </w:t>
      </w:r>
    </w:p>
    <w:p w14:paraId="41FCEB12" w14:textId="77777777" w:rsidR="005F75FC" w:rsidRPr="005F75FC" w:rsidRDefault="005F75FC" w:rsidP="005F75FC">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Clear response to blood products suggesting hypovolemia. </w:t>
      </w:r>
    </w:p>
    <w:p w14:paraId="1ED2EA42"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In that case, the pathway would shift toward hemorrhage control and balanced blood-product resuscitation, while still managing the airway and pneumothorax risk.</w:t>
      </w:r>
    </w:p>
    <w:p w14:paraId="1C719BDA" w14:textId="77777777" w:rsidR="005F75FC" w:rsidRPr="005F75FC" w:rsidRDefault="00596BE2" w:rsidP="005F75FC">
      <w:pPr>
        <w:rPr>
          <w:rFonts w:ascii="Times New Roman" w:eastAsia="Times New Roman" w:hAnsi="Times New Roman" w:cs="Times New Roman"/>
          <w:kern w:val="0"/>
          <w:lang w:eastAsia="el-GR"/>
          <w14:ligatures w14:val="none"/>
        </w:rPr>
      </w:pPr>
      <w:r w:rsidRPr="00596BE2">
        <w:rPr>
          <w:rFonts w:ascii="Times New Roman" w:eastAsia="Times New Roman" w:hAnsi="Times New Roman" w:cs="Times New Roman"/>
          <w:noProof/>
          <w:kern w:val="0"/>
          <w:lang w:eastAsia="el-GR"/>
        </w:rPr>
        <w:pict w14:anchorId="179429F4">
          <v:rect id="_x0000_i1039" alt="" style="width:414.9pt;height:.05pt;mso-width-percent:0;mso-height-percent:0;mso-width-percent:0;mso-height-percent:0" o:hrpct="999" o:hralign="center" o:hrstd="t" o:hr="t" fillcolor="#a0a0a0" stroked="f"/>
        </w:pict>
      </w:r>
    </w:p>
    <w:p w14:paraId="4D74C4AC" w14:textId="77777777" w:rsidR="005F75FC" w:rsidRPr="005F75FC" w:rsidRDefault="005F75FC" w:rsidP="005F75F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F75FC">
        <w:rPr>
          <w:rFonts w:ascii="Times New Roman" w:eastAsia="Times New Roman" w:hAnsi="Times New Roman" w:cs="Times New Roman"/>
          <w:b/>
          <w:bCs/>
          <w:kern w:val="36"/>
          <w:sz w:val="48"/>
          <w:szCs w:val="48"/>
          <w:lang w:val="en-US" w:eastAsia="el-GR"/>
          <w14:ligatures w14:val="none"/>
        </w:rPr>
        <w:t>15. Final Recommendation</w:t>
      </w:r>
    </w:p>
    <w:p w14:paraId="13A9E975"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b/>
          <w:bCs/>
          <w:kern w:val="0"/>
          <w:lang w:val="en-US" w:eastAsia="el-GR"/>
          <w14:ligatures w14:val="none"/>
        </w:rPr>
        <w:t>The decision support system recommends treating Aisha as a high-risk neurogenic shock and respiratory failure patient, not as a simple hemorrhagic shock case.</w:t>
      </w:r>
    </w:p>
    <w:p w14:paraId="786DE15A"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 xml:space="preserve">The immediate plan should be: </w:t>
      </w:r>
      <w:r w:rsidRPr="005F75FC">
        <w:rPr>
          <w:rFonts w:ascii="Times New Roman" w:eastAsia="Times New Roman" w:hAnsi="Times New Roman" w:cs="Times New Roman"/>
          <w:b/>
          <w:bCs/>
          <w:kern w:val="0"/>
          <w:lang w:val="en-US" w:eastAsia="el-GR"/>
          <w14:ligatures w14:val="none"/>
        </w:rPr>
        <w:t>senior help, vasopressor escalation to protect spinal cord perfusion, controlled airway management, active chest reassessment, readiness for immediate tension pneumothorax treatment, and continued hemorrhage surveillance.</w:t>
      </w:r>
    </w:p>
    <w:p w14:paraId="2A6B2E36" w14:textId="77777777" w:rsidR="005F75FC" w:rsidRPr="005F75FC" w:rsidRDefault="005F75FC" w:rsidP="005F75FC">
      <w:pPr>
        <w:spacing w:before="100" w:beforeAutospacing="1" w:after="100" w:afterAutospacing="1"/>
        <w:rPr>
          <w:rFonts w:ascii="Times New Roman" w:eastAsia="Times New Roman" w:hAnsi="Times New Roman" w:cs="Times New Roman"/>
          <w:kern w:val="0"/>
          <w:lang w:val="en-US" w:eastAsia="el-GR"/>
          <w14:ligatures w14:val="none"/>
        </w:rPr>
      </w:pPr>
      <w:r w:rsidRPr="005F75FC">
        <w:rPr>
          <w:rFonts w:ascii="Times New Roman" w:eastAsia="Times New Roman" w:hAnsi="Times New Roman" w:cs="Times New Roman"/>
          <w:kern w:val="0"/>
          <w:lang w:val="en-US" w:eastAsia="el-GR"/>
          <w14:ligatures w14:val="none"/>
        </w:rPr>
        <w:t>A qualified ICU/trauma/anesthesia/spine team must validate and execute the final clinical decision.</w:t>
      </w:r>
    </w:p>
    <w:p w14:paraId="6851C775" w14:textId="77777777" w:rsidR="00E26B4F" w:rsidRPr="005F75FC" w:rsidRDefault="00E26B4F">
      <w:pPr>
        <w:rPr>
          <w:lang w:val="en-US"/>
        </w:rPr>
      </w:pPr>
    </w:p>
    <w:sectPr w:rsidR="00E26B4F" w:rsidRPr="005F75FC"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BF0"/>
    <w:multiLevelType w:val="multilevel"/>
    <w:tmpl w:val="665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681D"/>
    <w:multiLevelType w:val="multilevel"/>
    <w:tmpl w:val="C6F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E3098"/>
    <w:multiLevelType w:val="multilevel"/>
    <w:tmpl w:val="D6F0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B2541"/>
    <w:multiLevelType w:val="multilevel"/>
    <w:tmpl w:val="DC7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A2EA2"/>
    <w:multiLevelType w:val="multilevel"/>
    <w:tmpl w:val="9256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0504C"/>
    <w:multiLevelType w:val="multilevel"/>
    <w:tmpl w:val="7342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F3FC9"/>
    <w:multiLevelType w:val="multilevel"/>
    <w:tmpl w:val="6FC4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7005CD"/>
    <w:multiLevelType w:val="multilevel"/>
    <w:tmpl w:val="9518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00993"/>
    <w:multiLevelType w:val="multilevel"/>
    <w:tmpl w:val="E9A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97E1F"/>
    <w:multiLevelType w:val="multilevel"/>
    <w:tmpl w:val="805E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26EF9"/>
    <w:multiLevelType w:val="multilevel"/>
    <w:tmpl w:val="4A2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C7AE5"/>
    <w:multiLevelType w:val="multilevel"/>
    <w:tmpl w:val="F16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F6171"/>
    <w:multiLevelType w:val="multilevel"/>
    <w:tmpl w:val="DE1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3263A"/>
    <w:multiLevelType w:val="multilevel"/>
    <w:tmpl w:val="901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817465">
    <w:abstractNumId w:val="2"/>
  </w:num>
  <w:num w:numId="2" w16cid:durableId="74667300">
    <w:abstractNumId w:val="0"/>
  </w:num>
  <w:num w:numId="3" w16cid:durableId="1852522057">
    <w:abstractNumId w:val="4"/>
  </w:num>
  <w:num w:numId="4" w16cid:durableId="1902279870">
    <w:abstractNumId w:val="6"/>
  </w:num>
  <w:num w:numId="5" w16cid:durableId="1028414105">
    <w:abstractNumId w:val="11"/>
  </w:num>
  <w:num w:numId="6" w16cid:durableId="1610354902">
    <w:abstractNumId w:val="13"/>
  </w:num>
  <w:num w:numId="7" w16cid:durableId="362099925">
    <w:abstractNumId w:val="3"/>
  </w:num>
  <w:num w:numId="8" w16cid:durableId="1359508299">
    <w:abstractNumId w:val="1"/>
  </w:num>
  <w:num w:numId="9" w16cid:durableId="1138956634">
    <w:abstractNumId w:val="10"/>
  </w:num>
  <w:num w:numId="10" w16cid:durableId="1519656896">
    <w:abstractNumId w:val="9"/>
  </w:num>
  <w:num w:numId="11" w16cid:durableId="1420636105">
    <w:abstractNumId w:val="5"/>
  </w:num>
  <w:num w:numId="12" w16cid:durableId="1315261969">
    <w:abstractNumId w:val="12"/>
  </w:num>
  <w:num w:numId="13" w16cid:durableId="280572385">
    <w:abstractNumId w:val="7"/>
  </w:num>
  <w:num w:numId="14" w16cid:durableId="12400927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FC"/>
    <w:rsid w:val="000F1CC1"/>
    <w:rsid w:val="0056380E"/>
    <w:rsid w:val="00596BE2"/>
    <w:rsid w:val="005F75FC"/>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7D70A"/>
  <w15:chartTrackingRefBased/>
  <w15:docId w15:val="{2F6E9687-9F28-2A43-B3E9-68CA5A99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F7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F7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F75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F75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F75F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F75F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F75F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F75F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F75F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F75F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F75F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F75F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F75F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F75F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F75F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F75FC"/>
    <w:rPr>
      <w:rFonts w:eastAsiaTheme="majorEastAsia" w:cstheme="majorBidi"/>
      <w:color w:val="272727" w:themeColor="text1" w:themeTint="D8"/>
    </w:rPr>
  </w:style>
  <w:style w:type="paragraph" w:styleId="a3">
    <w:name w:val="Title"/>
    <w:basedOn w:val="a"/>
    <w:next w:val="a"/>
    <w:link w:val="Char"/>
    <w:uiPriority w:val="10"/>
    <w:qFormat/>
    <w:rsid w:val="005F75F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F75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75F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F75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F75FC"/>
    <w:pPr>
      <w:spacing w:before="160" w:after="160"/>
      <w:jc w:val="center"/>
    </w:pPr>
    <w:rPr>
      <w:i/>
      <w:iCs/>
      <w:color w:val="404040" w:themeColor="text1" w:themeTint="BF"/>
    </w:rPr>
  </w:style>
  <w:style w:type="character" w:customStyle="1" w:styleId="Char1">
    <w:name w:val="Απόσπασμα Char"/>
    <w:basedOn w:val="a0"/>
    <w:link w:val="a5"/>
    <w:uiPriority w:val="29"/>
    <w:rsid w:val="005F75FC"/>
    <w:rPr>
      <w:i/>
      <w:iCs/>
      <w:color w:val="404040" w:themeColor="text1" w:themeTint="BF"/>
    </w:rPr>
  </w:style>
  <w:style w:type="paragraph" w:styleId="a6">
    <w:name w:val="List Paragraph"/>
    <w:basedOn w:val="a"/>
    <w:uiPriority w:val="34"/>
    <w:qFormat/>
    <w:rsid w:val="005F75FC"/>
    <w:pPr>
      <w:ind w:left="720"/>
      <w:contextualSpacing/>
    </w:pPr>
  </w:style>
  <w:style w:type="character" w:styleId="a7">
    <w:name w:val="Intense Emphasis"/>
    <w:basedOn w:val="a0"/>
    <w:uiPriority w:val="21"/>
    <w:qFormat/>
    <w:rsid w:val="005F75FC"/>
    <w:rPr>
      <w:i/>
      <w:iCs/>
      <w:color w:val="0F4761" w:themeColor="accent1" w:themeShade="BF"/>
    </w:rPr>
  </w:style>
  <w:style w:type="paragraph" w:styleId="a8">
    <w:name w:val="Intense Quote"/>
    <w:basedOn w:val="a"/>
    <w:next w:val="a"/>
    <w:link w:val="Char2"/>
    <w:uiPriority w:val="30"/>
    <w:qFormat/>
    <w:rsid w:val="005F7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F75FC"/>
    <w:rPr>
      <w:i/>
      <w:iCs/>
      <w:color w:val="0F4761" w:themeColor="accent1" w:themeShade="BF"/>
    </w:rPr>
  </w:style>
  <w:style w:type="character" w:styleId="a9">
    <w:name w:val="Intense Reference"/>
    <w:basedOn w:val="a0"/>
    <w:uiPriority w:val="32"/>
    <w:qFormat/>
    <w:rsid w:val="005F75FC"/>
    <w:rPr>
      <w:b/>
      <w:bCs/>
      <w:smallCaps/>
      <w:color w:val="0F4761" w:themeColor="accent1" w:themeShade="BF"/>
      <w:spacing w:val="5"/>
    </w:rPr>
  </w:style>
  <w:style w:type="paragraph" w:styleId="Web">
    <w:name w:val="Normal (Web)"/>
    <w:basedOn w:val="a"/>
    <w:uiPriority w:val="99"/>
    <w:semiHidden/>
    <w:unhideWhenUsed/>
    <w:rsid w:val="005F75FC"/>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F7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1878</Words>
  <Characters>12456</Characters>
  <Application>Microsoft Office Word</Application>
  <DocSecurity>0</DocSecurity>
  <Lines>346</Lines>
  <Paragraphs>251</Paragraphs>
  <ScaleCrop>false</ScaleCrop>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2026-06-13T16:04:00Z</dcterms:created>
  <dcterms:modified xsi:type="dcterms:W3CDTF">2026-06-13T16:04:00Z</dcterms:modified>
</cp:coreProperties>
</file>