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3760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Scored all four models against the Scenario 3 ground truth (the Aisha / mixed-shock ICU case — the richest checklist yet at 28 points, and the one that most rewards </w:t>
      </w:r>
      <w:r w:rsidRPr="00CC5420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anticipatory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reasoning about the post-intubation tension pneumothorax).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Same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method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Data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flags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first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:</w:t>
      </w:r>
    </w:p>
    <w:p w14:paraId="3B9FFFBE" w14:textId="77777777" w:rsidR="00CC5420" w:rsidRPr="00CC5420" w:rsidRDefault="00CC5420" w:rsidP="00CC54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C54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llama_with_kg.docx</w:t>
      </w: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contains only the scenario — no answer/graph.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Llama's with-KG cell for Scenario 3 is missing (same collection gap we hit before). </w:t>
      </w:r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scored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seven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cells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have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0422F9C3" w14:textId="77777777" w:rsidR="00CC5420" w:rsidRPr="00CC5420" w:rsidRDefault="00CC5420" w:rsidP="00CC54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proofErr w:type="spellStart"/>
      <w:r w:rsidRPr="00CC54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gpt_with_kg</w:t>
      </w:r>
      <w:proofErr w:type="spellEnd"/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again a text DSS, not Cypher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; </w:t>
      </w:r>
      <w:proofErr w:type="spellStart"/>
      <w:r w:rsidRPr="00CC54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claude_with_kg</w:t>
      </w:r>
      <w:proofErr w:type="spellEnd"/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a full Cypher graph plus a red-team pass.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Not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same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artifact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type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4CD46A3B" w14:textId="77777777" w:rsidR="00CC5420" w:rsidRPr="00CC5420" w:rsidRDefault="00CC5420" w:rsidP="00CC54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proofErr w:type="spellStart"/>
      <w:r w:rsidRPr="00CC54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mistral_with_kg</w:t>
      </w:r>
      <w:proofErr w:type="spellEnd"/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produced a long, internally contradictory, non-executable Cypher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in places it asserts "tachycardia" and "cold extremities" (both factually wrong for this patient) and flip-flops between hemorrhagic and neurogenic in its rationale text.</w:t>
      </w:r>
    </w:p>
    <w:p w14:paraId="0BFC42B6" w14:textId="77777777" w:rsidR="00CC5420" w:rsidRPr="00CC5420" w:rsidRDefault="00CC5420" w:rsidP="00CC54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Master results — Scenario 3 (half-credit; 28-point checklist)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90"/>
        <w:gridCol w:w="2115"/>
        <w:gridCol w:w="600"/>
        <w:gridCol w:w="480"/>
        <w:gridCol w:w="480"/>
        <w:gridCol w:w="2870"/>
      </w:tblGrid>
      <w:tr w:rsidR="00CC5420" w:rsidRPr="00CC5420" w14:paraId="2B00F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7FB75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6B250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Cond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4375BD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Central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8A2DC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D5CAB8A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2D89E7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910224E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Graph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conformance</w:t>
            </w:r>
            <w:proofErr w:type="spellEnd"/>
          </w:p>
        </w:tc>
      </w:tr>
      <w:tr w:rsidR="00CC5420" w:rsidRPr="00CC5420" w14:paraId="102C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77CA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163D0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EFDD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C6AA2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10F3A0BF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6D6A7555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82435B1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CC5420" w:rsidRPr="00CC5420" w14:paraId="1C8A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587B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952D32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387B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A6C4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760959E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5FCAD8E5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3EFAB4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structured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text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not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Cypher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  <w:tr w:rsidR="00CC5420" w:rsidRPr="00CC5420" w14:paraId="48FD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F622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9C210F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D2AD2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0831E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38C30505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2CA452AE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3704AA1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CC5420" w:rsidRPr="00CC5420" w14:paraId="28E1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4FFF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6BC3C6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2707A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1C13B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28BE9DC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33B858C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4232909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~98% +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red-team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robustness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pass</w:t>
            </w:r>
            <w:proofErr w:type="spellEnd"/>
          </w:p>
        </w:tc>
      </w:tr>
      <w:tr w:rsidR="00CC5420" w:rsidRPr="00CC5420" w14:paraId="3C2B3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901B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349D3B58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A692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Flawed (intubate-first, no prep)</w:t>
            </w:r>
          </w:p>
        </w:tc>
        <w:tc>
          <w:tcPr>
            <w:tcW w:w="0" w:type="auto"/>
            <w:vAlign w:val="center"/>
            <w:hideMark/>
          </w:tcPr>
          <w:p w14:paraId="37A0A9E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29A2C741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0.23</w:t>
            </w:r>
          </w:p>
        </w:tc>
        <w:tc>
          <w:tcPr>
            <w:tcW w:w="0" w:type="auto"/>
            <w:vAlign w:val="center"/>
            <w:hideMark/>
          </w:tcPr>
          <w:p w14:paraId="64C2D54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217C649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CC5420" w:rsidRPr="00CC5420" w14:paraId="1B1B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242D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2677CA76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ECAD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—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answer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captured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—</w:t>
            </w:r>
          </w:p>
        </w:tc>
        <w:tc>
          <w:tcPr>
            <w:tcW w:w="0" w:type="auto"/>
            <w:vAlign w:val="center"/>
            <w:hideMark/>
          </w:tcPr>
          <w:p w14:paraId="52D94A6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07AA74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2312F6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9B33B8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CC5420" w:rsidRPr="00CC5420" w14:paraId="6066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6C2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3B2D852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96F8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Flawed (fluids-first, "treat both")</w:t>
            </w:r>
          </w:p>
        </w:tc>
        <w:tc>
          <w:tcPr>
            <w:tcW w:w="0" w:type="auto"/>
            <w:vAlign w:val="center"/>
            <w:hideMark/>
          </w:tcPr>
          <w:p w14:paraId="6E1933E9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7E95A9E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2E464BA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59D1CB04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CC5420" w:rsidRPr="00CC5420" w14:paraId="4255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13AC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055F894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0976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Roughly correct (lands on neurogenic)</w:t>
            </w:r>
          </w:p>
        </w:tc>
        <w:tc>
          <w:tcPr>
            <w:tcW w:w="0" w:type="auto"/>
            <w:vAlign w:val="center"/>
            <w:hideMark/>
          </w:tcPr>
          <w:p w14:paraId="5DD1D53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5ECDD7E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7AFA0E0D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65F9FC69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~25%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malformed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contradictory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</w:tbl>
    <w:p w14:paraId="59A07437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*Precision = 1.0 = sparse outputs that assert nothing wrong; read with recall.</w:t>
      </w:r>
    </w:p>
    <w:p w14:paraId="7B973E5D" w14:textId="77777777" w:rsidR="00CC5420" w:rsidRPr="00CC5420" w:rsidRDefault="00CC5420" w:rsidP="00CC54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Key finding — replicates again, with a sharper safety split</w:t>
      </w:r>
    </w:p>
    <w:p w14:paraId="74407490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Large models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got the full clinical arc right in both conditions: neurogenic shock from the bradycardia + warm + high-thoracic-cord pattern, exclude hemorrhage, escalate pressors to a cord-perfusion MAP, and — critically — </w:t>
      </w: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anticipate and pre-empt the post-intubation left tension pneumothorax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(decompress before/at PPV). KG left clinical quality flat-to-slightly-down (GPT −0.02, Claude −0.04) with high conformance. Claude-without was the single best clinical answer of the set (0.85: explicit second vasopressor, atropine for bradycardia, in-line spinal precautions, pre-emptive left-chest drain).</w:t>
      </w:r>
    </w:p>
    <w:p w14:paraId="67C49F09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Claude-with is the qualitative standout of all three scenarios.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It built a schema-faithful graph and then, on </w:t>
      </w:r>
      <w:r w:rsidRPr="00CC5420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red-team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stress-tested its own decision — surfaced the strongest counterargument (relative bradycardia can occur in hemorrhage; "neurogenic shock is a diagnosis of exclusion"</w:t>
      </w:r>
      <w:proofErr w:type="gramStart"/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), and</w:t>
      </w:r>
      <w:proofErr w:type="gramEnd"/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emitted a </w:t>
      </w: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superseding "blood-ready hybrid" decision while preserving the original for audit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That is precisely the auditable, self-correcting reasoning the framework is meant to demonstrate — a prime exhibit for your qualitative axis.</w:t>
      </w:r>
    </w:p>
    <w:p w14:paraId="7D161DAB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Small models split on safety.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Llama-without jumped straight to intubation as the primary move — no shock differential, no vasopressor/bradycardia management, and no left-chest decompression </w:t>
      </w:r>
      <w:r w:rsidRPr="00CC5420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before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PPV (the catastrophic trap). </w:t>
      </w:r>
      <w:proofErr w:type="spellStart"/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Its</w:t>
      </w:r>
      <w:proofErr w:type="spellEnd"/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with-KG cell is missing. Mistral-without was also flawed (recommended fluids-first and "treat both shocks," never identifying neurogenic as primary), but under KG framing it worked the differential and landed on neurogenic management — though via a broken, contradictory graph.</w:t>
      </w:r>
    </w:p>
    <w:p w14:paraId="547D1D8F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Framing effect, third confirmation.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Mistral improved 0.32 → 0.53 with the KG framing despite producing no valid structure.</w:t>
      </w:r>
    </w:p>
    <w:p w14:paraId="5EE3DB20" w14:textId="77777777" w:rsidR="00CC5420" w:rsidRPr="00CC5420" w:rsidRDefault="00CC5420" w:rsidP="00CC54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Cross-scenario consistency (half-credit F1)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60"/>
        <w:gridCol w:w="1260"/>
        <w:gridCol w:w="1762"/>
      </w:tblGrid>
      <w:tr w:rsidR="00CC5420" w:rsidRPr="00CC5420" w14:paraId="3E04A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5535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3B263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15F5B88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2472289" w14:textId="77777777" w:rsidR="00CC5420" w:rsidRPr="00CC5420" w:rsidRDefault="00CC5420" w:rsidP="00CC5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S3</w:t>
            </w:r>
          </w:p>
        </w:tc>
      </w:tr>
      <w:tr w:rsidR="00CC5420" w:rsidRPr="00CC5420" w14:paraId="7D02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2CC0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39A794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0.83</w:t>
            </w:r>
          </w:p>
        </w:tc>
        <w:tc>
          <w:tcPr>
            <w:tcW w:w="0" w:type="auto"/>
            <w:vAlign w:val="center"/>
            <w:hideMark/>
          </w:tcPr>
          <w:p w14:paraId="69DEACD5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0.76</w:t>
            </w:r>
          </w:p>
        </w:tc>
        <w:tc>
          <w:tcPr>
            <w:tcW w:w="0" w:type="auto"/>
            <w:vAlign w:val="center"/>
            <w:hideMark/>
          </w:tcPr>
          <w:p w14:paraId="1E995FF1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0.82 → 0.80</w:t>
            </w:r>
          </w:p>
        </w:tc>
      </w:tr>
      <w:tr w:rsidR="00CC5420" w:rsidRPr="00CC5420" w14:paraId="5267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B10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7FB4E7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0.78</w:t>
            </w:r>
          </w:p>
        </w:tc>
        <w:tc>
          <w:tcPr>
            <w:tcW w:w="0" w:type="auto"/>
            <w:vAlign w:val="center"/>
            <w:hideMark/>
          </w:tcPr>
          <w:p w14:paraId="654BE29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0.72</w:t>
            </w:r>
          </w:p>
        </w:tc>
        <w:tc>
          <w:tcPr>
            <w:tcW w:w="0" w:type="auto"/>
            <w:vAlign w:val="center"/>
            <w:hideMark/>
          </w:tcPr>
          <w:p w14:paraId="2B400762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0.85 → 0.81</w:t>
            </w:r>
          </w:p>
        </w:tc>
      </w:tr>
      <w:tr w:rsidR="00CC5420" w:rsidRPr="00CC5420" w14:paraId="338C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98D6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3D1A54A9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0.67 → 0.43</w:t>
            </w:r>
          </w:p>
        </w:tc>
        <w:tc>
          <w:tcPr>
            <w:tcW w:w="0" w:type="auto"/>
            <w:vAlign w:val="center"/>
            <w:hideMark/>
          </w:tcPr>
          <w:p w14:paraId="362EA818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0.46 → 0.46</w:t>
            </w:r>
          </w:p>
        </w:tc>
        <w:tc>
          <w:tcPr>
            <w:tcW w:w="0" w:type="auto"/>
            <w:vAlign w:val="center"/>
            <w:hideMark/>
          </w:tcPr>
          <w:p w14:paraId="36F36C3F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0.38 → (</w:t>
            </w:r>
            <w:proofErr w:type="spellStart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missing</w:t>
            </w:r>
            <w:proofErr w:type="spellEnd"/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  <w:tr w:rsidR="00CC5420" w:rsidRPr="00CC5420" w14:paraId="28FD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5909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629B81AA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0.32 → 0.57</w:t>
            </w:r>
          </w:p>
        </w:tc>
        <w:tc>
          <w:tcPr>
            <w:tcW w:w="0" w:type="auto"/>
            <w:vAlign w:val="center"/>
            <w:hideMark/>
          </w:tcPr>
          <w:p w14:paraId="02CA36F8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0.44 → 0.58</w:t>
            </w:r>
          </w:p>
        </w:tc>
        <w:tc>
          <w:tcPr>
            <w:tcW w:w="0" w:type="auto"/>
            <w:vAlign w:val="center"/>
            <w:hideMark/>
          </w:tcPr>
          <w:p w14:paraId="22AB8443" w14:textId="77777777" w:rsidR="00CC5420" w:rsidRPr="00CC5420" w:rsidRDefault="00CC5420" w:rsidP="00CC542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CC542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0.32 → 0.53</w:t>
            </w:r>
          </w:p>
        </w:tc>
      </w:tr>
    </w:tbl>
    <w:p w14:paraId="2C896ED4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pattern is now stable across three scenarios: </w:t>
      </w: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large models — KG flat-to-slightly-down on clinical recall (−0.02 to −0.04) but high structural conformance and correct calls; Mistral — KG framing consistently lifts it (+0.13 to +0.25) but never yields a valid graph; Llama — KG flat-or-worse with unreliable collection.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This is your headline interaction, and three scenarios give it real weight.</w:t>
      </w:r>
    </w:p>
    <w:p w14:paraId="2F6D8545" w14:textId="77777777" w:rsidR="00CC5420" w:rsidRPr="00CC5420" w:rsidRDefault="00CC5420" w:rsidP="00CC54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Scenario-specific note</w:t>
      </w:r>
    </w:p>
    <w:p w14:paraId="179E8222" w14:textId="77777777" w:rsidR="00CC5420" w:rsidRPr="00CC5420" w:rsidRDefault="00CC5420" w:rsidP="00CC54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This case most rewarded </w:t>
      </w:r>
      <w:r w:rsidRPr="00CC5420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anticipatory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reasoning, and the gap showed there: the large models pre-planned the tension-pneumothorax decompression; the small models either anticipated it without planning the treatment (Llama) or stayed vague (Mistral). No model produced the structured post-intubation </w:t>
      </w:r>
      <w:r w:rsidRPr="00CC5420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DOPES / disconnect-and-manually-ventilate</w:t>
      </w:r>
      <w:r w:rsidRPr="00CC5420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sequence or the pure simulation dynamics (expected POCUS findings, fluid non-response, the 60/40 crash, successful decompression), which uniformly capped recall around 0.70 even for the best — same checklist-vs-anticipation mismatch we flagged in Scenarios 1–2.</w:t>
      </w:r>
    </w:p>
    <w:p w14:paraId="5CFF3314" w14:textId="77777777" w:rsidR="00E26B4F" w:rsidRPr="00CC5420" w:rsidRDefault="00E26B4F">
      <w:pPr>
        <w:rPr>
          <w:lang w:val="en-US"/>
        </w:rPr>
      </w:pPr>
    </w:p>
    <w:sectPr w:rsidR="00E26B4F" w:rsidRPr="00CC5420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16005"/>
    <w:multiLevelType w:val="multilevel"/>
    <w:tmpl w:val="E02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3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20"/>
    <w:rsid w:val="000F1CC1"/>
    <w:rsid w:val="00444EDD"/>
    <w:rsid w:val="0056380E"/>
    <w:rsid w:val="007500F4"/>
    <w:rsid w:val="00750518"/>
    <w:rsid w:val="00915017"/>
    <w:rsid w:val="00A33099"/>
    <w:rsid w:val="00B604E0"/>
    <w:rsid w:val="00C74598"/>
    <w:rsid w:val="00CC5420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4B46D7"/>
  <w15:chartTrackingRefBased/>
  <w15:docId w15:val="{6821DCBC-DEFC-674D-AECF-EC3501B9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C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5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5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5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5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C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C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CC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C542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C542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C542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C542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C5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5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C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54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C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5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C54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54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54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C54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542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CC54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Emphasis"/>
    <w:basedOn w:val="a0"/>
    <w:uiPriority w:val="20"/>
    <w:qFormat/>
    <w:rsid w:val="00CC5420"/>
    <w:rPr>
      <w:i/>
      <w:iCs/>
    </w:rPr>
  </w:style>
  <w:style w:type="character" w:styleId="ab">
    <w:name w:val="Strong"/>
    <w:basedOn w:val="a0"/>
    <w:uiPriority w:val="22"/>
    <w:qFormat/>
    <w:rsid w:val="00CC5420"/>
    <w:rPr>
      <w:b/>
      <w:bCs/>
    </w:rPr>
  </w:style>
  <w:style w:type="character" w:styleId="HTML">
    <w:name w:val="HTML Code"/>
    <w:basedOn w:val="a0"/>
    <w:uiPriority w:val="99"/>
    <w:semiHidden/>
    <w:unhideWhenUsed/>
    <w:rsid w:val="00CC54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3992</Characters>
  <Application>Microsoft Office Word</Application>
  <DocSecurity>0</DocSecurity>
  <Lines>159</Lines>
  <Paragraphs>103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2026-06-13T19:44:00Z</dcterms:created>
  <dcterms:modified xsi:type="dcterms:W3CDTF">2026-06-13T19:45:00Z</dcterms:modified>
</cp:coreProperties>
</file>