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C536A" w14:textId="6B16F06C" w:rsidR="00E26B4F" w:rsidRPr="001517B8" w:rsidRDefault="006658D7" w:rsidP="001517B8">
      <w:pPr>
        <w:jc w:val="both"/>
        <w:rPr>
          <w:lang w:val="en-US"/>
        </w:rPr>
      </w:pPr>
      <w:r w:rsidRPr="001517B8">
        <w:rPr>
          <w:lang w:val="en-US"/>
        </w:rPr>
        <w:t>Ground truth</w:t>
      </w:r>
    </w:p>
    <w:p w14:paraId="7399A527" w14:textId="77777777" w:rsidR="006658D7" w:rsidRPr="001517B8" w:rsidRDefault="006658D7" w:rsidP="001517B8">
      <w:pPr>
        <w:spacing w:before="100" w:beforeAutospacing="1" w:after="100" w:afterAutospacing="1"/>
        <w:jc w:val="both"/>
        <w:outlineLvl w:val="1"/>
        <w:rPr>
          <w:rFonts w:eastAsia="Times New Roman" w:cs="Times New Roman"/>
          <w:b/>
          <w:bCs/>
          <w:kern w:val="0"/>
          <w:sz w:val="36"/>
          <w:szCs w:val="36"/>
          <w:lang w:eastAsia="el-GR"/>
          <w14:ligatures w14:val="none"/>
        </w:rPr>
      </w:pPr>
      <w:r w:rsidRPr="001517B8">
        <w:rPr>
          <w:rFonts w:eastAsia="Times New Roman" w:cs="Times New Roman"/>
          <w:b/>
          <w:bCs/>
          <w:kern w:val="0"/>
          <w:sz w:val="36"/>
          <w:szCs w:val="36"/>
          <w:lang w:eastAsia="el-GR"/>
          <w14:ligatures w14:val="none"/>
        </w:rPr>
        <w:t>Decision-Making Task</w:t>
      </w:r>
    </w:p>
    <w:p w14:paraId="6861C89E" w14:textId="77777777" w:rsidR="006658D7" w:rsidRPr="001517B8" w:rsidRDefault="006658D7" w:rsidP="001517B8">
      <w:pPr>
        <w:spacing w:before="100" w:beforeAutospacing="1" w:after="100" w:afterAutospacing="1"/>
        <w:jc w:val="both"/>
        <w:rPr>
          <w:rFonts w:eastAsia="Times New Roman" w:cs="Times New Roman"/>
          <w:kern w:val="0"/>
          <w:lang w:eastAsia="el-GR"/>
          <w14:ligatures w14:val="none"/>
        </w:rPr>
      </w:pPr>
      <w:r w:rsidRPr="001517B8">
        <w:rPr>
          <w:rFonts w:eastAsia="Times New Roman" w:cs="Times New Roman"/>
          <w:kern w:val="0"/>
          <w:lang w:eastAsia="el-GR"/>
          <w14:ligatures w14:val="none"/>
        </w:rPr>
        <w:t>The team must decide the safest immediate management plan for the patient.</w:t>
      </w:r>
    </w:p>
    <w:p w14:paraId="0A5A548E" w14:textId="77777777" w:rsidR="006658D7" w:rsidRPr="001517B8" w:rsidRDefault="006658D7" w:rsidP="001517B8">
      <w:pPr>
        <w:spacing w:before="100" w:beforeAutospacing="1" w:after="100" w:afterAutospacing="1"/>
        <w:jc w:val="both"/>
        <w:rPr>
          <w:rFonts w:eastAsia="Times New Roman" w:cs="Times New Roman"/>
          <w:kern w:val="0"/>
          <w:lang w:eastAsia="el-GR"/>
          <w14:ligatures w14:val="none"/>
        </w:rPr>
      </w:pPr>
      <w:r w:rsidRPr="001517B8">
        <w:rPr>
          <w:rFonts w:eastAsia="Times New Roman" w:cs="Times New Roman"/>
          <w:kern w:val="0"/>
          <w:lang w:eastAsia="el-GR"/>
          <w14:ligatures w14:val="none"/>
        </w:rPr>
        <w:t>The central clinical question is:</w:t>
      </w:r>
    </w:p>
    <w:p w14:paraId="466A886D" w14:textId="77777777" w:rsidR="006658D7" w:rsidRPr="001517B8" w:rsidRDefault="006658D7" w:rsidP="001517B8">
      <w:pPr>
        <w:spacing w:before="100" w:beforeAutospacing="1" w:after="100" w:afterAutospacing="1"/>
        <w:jc w:val="both"/>
        <w:rPr>
          <w:rFonts w:eastAsia="Times New Roman" w:cs="Times New Roman"/>
          <w:kern w:val="0"/>
          <w:lang w:eastAsia="el-GR"/>
          <w14:ligatures w14:val="none"/>
        </w:rPr>
      </w:pPr>
      <w:r w:rsidRPr="001517B8">
        <w:rPr>
          <w:rFonts w:eastAsia="Times New Roman" w:cs="Times New Roman"/>
          <w:b/>
          <w:bCs/>
          <w:kern w:val="0"/>
          <w:lang w:eastAsia="el-GR"/>
          <w14:ligatures w14:val="none"/>
        </w:rPr>
        <w:t>Should the team proceed directly to intubation and operative transfer, or first stabilize the patient through hemorrhage control and blood product resuscitation?</w:t>
      </w:r>
    </w:p>
    <w:p w14:paraId="0000AA53" w14:textId="77777777" w:rsidR="006658D7" w:rsidRPr="001517B8" w:rsidRDefault="006658D7" w:rsidP="001517B8">
      <w:pPr>
        <w:spacing w:before="100" w:beforeAutospacing="1" w:after="100" w:afterAutospacing="1"/>
        <w:jc w:val="both"/>
        <w:rPr>
          <w:rFonts w:eastAsia="Times New Roman" w:cs="Times New Roman"/>
          <w:kern w:val="0"/>
          <w:lang w:eastAsia="el-GR"/>
          <w14:ligatures w14:val="none"/>
        </w:rPr>
      </w:pPr>
      <w:r w:rsidRPr="001517B8">
        <w:rPr>
          <w:rFonts w:eastAsia="Times New Roman" w:cs="Times New Roman"/>
          <w:kern w:val="0"/>
          <w:lang w:eastAsia="el-GR"/>
          <w14:ligatures w14:val="none"/>
        </w:rPr>
        <w:t>The expected decision is to recognize the patient as an unstable polytrauma patient with hemorrhagic shock from severe extremity trauma, suspected intra-abdominal bleeding, and pelvic injury. The team should prioritize hemorrhage control, rapid blood product administration, massive hemorrhage protocol activation, and surgical consultation, while preparing for intubation only after adequate resuscitation.</w:t>
      </w:r>
    </w:p>
    <w:p w14:paraId="3492D4C5" w14:textId="77777777" w:rsidR="006658D7" w:rsidRPr="001517B8" w:rsidRDefault="006658D7" w:rsidP="001517B8">
      <w:pPr>
        <w:spacing w:before="100" w:beforeAutospacing="1" w:after="100" w:afterAutospacing="1"/>
        <w:jc w:val="both"/>
        <w:outlineLvl w:val="1"/>
        <w:rPr>
          <w:rFonts w:eastAsia="Times New Roman" w:cs="Times New Roman"/>
          <w:b/>
          <w:bCs/>
          <w:kern w:val="0"/>
          <w:sz w:val="36"/>
          <w:szCs w:val="36"/>
          <w:lang w:eastAsia="el-GR"/>
          <w14:ligatures w14:val="none"/>
        </w:rPr>
      </w:pPr>
      <w:r w:rsidRPr="001517B8">
        <w:rPr>
          <w:rFonts w:eastAsia="Times New Roman" w:cs="Times New Roman"/>
          <w:b/>
          <w:bCs/>
          <w:kern w:val="0"/>
          <w:sz w:val="36"/>
          <w:szCs w:val="36"/>
          <w:lang w:eastAsia="el-GR"/>
          <w14:ligatures w14:val="none"/>
        </w:rPr>
        <w:t>Ground Truth / Final Evaluation Checklist</w:t>
      </w:r>
    </w:p>
    <w:p w14:paraId="7FF96042" w14:textId="77777777" w:rsidR="006658D7" w:rsidRPr="001517B8" w:rsidRDefault="006658D7" w:rsidP="001517B8">
      <w:pPr>
        <w:spacing w:before="100" w:beforeAutospacing="1" w:after="100" w:afterAutospacing="1"/>
        <w:jc w:val="both"/>
        <w:rPr>
          <w:rFonts w:eastAsia="Times New Roman" w:cs="Times New Roman"/>
          <w:kern w:val="0"/>
          <w:lang w:eastAsia="el-GR"/>
          <w14:ligatures w14:val="none"/>
        </w:rPr>
      </w:pPr>
      <w:r w:rsidRPr="001517B8">
        <w:rPr>
          <w:rFonts w:eastAsia="Times New Roman" w:cs="Times New Roman"/>
          <w:kern w:val="0"/>
          <w:lang w:eastAsia="el-GR"/>
          <w14:ligatures w14:val="none"/>
        </w:rPr>
        <w:t>The correct management pathway should include the following 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5862"/>
      </w:tblGrid>
      <w:tr w:rsidR="006658D7" w:rsidRPr="001517B8" w14:paraId="32846000" w14:textId="77777777" w:rsidTr="001517B8">
        <w:trPr>
          <w:tblHeader/>
          <w:tblCellSpacing w:w="15" w:type="dxa"/>
        </w:trPr>
        <w:tc>
          <w:tcPr>
            <w:tcW w:w="0" w:type="auto"/>
            <w:vAlign w:val="center"/>
            <w:hideMark/>
          </w:tcPr>
          <w:p w14:paraId="1CEEB1AD" w14:textId="77777777" w:rsidR="006658D7" w:rsidRPr="001517B8" w:rsidRDefault="006658D7" w:rsidP="001517B8">
            <w:pPr>
              <w:jc w:val="both"/>
              <w:rPr>
                <w:rFonts w:eastAsia="Times New Roman" w:cs="Times New Roman"/>
                <w:b/>
                <w:bCs/>
                <w:kern w:val="0"/>
                <w:lang w:eastAsia="el-GR"/>
                <w14:ligatures w14:val="none"/>
              </w:rPr>
            </w:pPr>
            <w:r w:rsidRPr="001517B8">
              <w:rPr>
                <w:rFonts w:eastAsia="Times New Roman" w:cs="Times New Roman"/>
                <w:b/>
                <w:bCs/>
                <w:kern w:val="0"/>
                <w:lang w:eastAsia="el-GR"/>
                <w14:ligatures w14:val="none"/>
              </w:rPr>
              <w:t>Evaluation Point</w:t>
            </w:r>
          </w:p>
        </w:tc>
        <w:tc>
          <w:tcPr>
            <w:tcW w:w="0" w:type="auto"/>
            <w:vAlign w:val="center"/>
            <w:hideMark/>
          </w:tcPr>
          <w:p w14:paraId="0C22EA54" w14:textId="77777777" w:rsidR="006658D7" w:rsidRPr="001517B8" w:rsidRDefault="006658D7" w:rsidP="001517B8">
            <w:pPr>
              <w:jc w:val="both"/>
              <w:rPr>
                <w:rFonts w:eastAsia="Times New Roman" w:cs="Times New Roman"/>
                <w:b/>
                <w:bCs/>
                <w:kern w:val="0"/>
                <w:lang w:eastAsia="el-GR"/>
                <w14:ligatures w14:val="none"/>
              </w:rPr>
            </w:pPr>
            <w:r w:rsidRPr="001517B8">
              <w:rPr>
                <w:rFonts w:eastAsia="Times New Roman" w:cs="Times New Roman"/>
                <w:b/>
                <w:bCs/>
                <w:kern w:val="0"/>
                <w:lang w:eastAsia="el-GR"/>
                <w14:ligatures w14:val="none"/>
              </w:rPr>
              <w:t>Ground Truth</w:t>
            </w:r>
          </w:p>
        </w:tc>
      </w:tr>
      <w:tr w:rsidR="006658D7" w:rsidRPr="001517B8" w14:paraId="2912CDB4" w14:textId="77777777" w:rsidTr="001517B8">
        <w:trPr>
          <w:tblCellSpacing w:w="15" w:type="dxa"/>
        </w:trPr>
        <w:tc>
          <w:tcPr>
            <w:tcW w:w="0" w:type="auto"/>
            <w:vAlign w:val="center"/>
            <w:hideMark/>
          </w:tcPr>
          <w:p w14:paraId="1B639E6B"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Trauma activation</w:t>
            </w:r>
          </w:p>
        </w:tc>
        <w:tc>
          <w:tcPr>
            <w:tcW w:w="0" w:type="auto"/>
            <w:vAlign w:val="center"/>
            <w:hideMark/>
          </w:tcPr>
          <w:p w14:paraId="57C12E1C"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Trauma team should be activated immediately.</w:t>
            </w:r>
          </w:p>
        </w:tc>
      </w:tr>
      <w:tr w:rsidR="006658D7" w:rsidRPr="001517B8" w14:paraId="5A173D4A" w14:textId="77777777" w:rsidTr="001517B8">
        <w:trPr>
          <w:tblCellSpacing w:w="15" w:type="dxa"/>
        </w:trPr>
        <w:tc>
          <w:tcPr>
            <w:tcW w:w="0" w:type="auto"/>
            <w:vAlign w:val="center"/>
            <w:hideMark/>
          </w:tcPr>
          <w:p w14:paraId="516A2A96"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Initial assessment</w:t>
            </w:r>
          </w:p>
        </w:tc>
        <w:tc>
          <w:tcPr>
            <w:tcW w:w="0" w:type="auto"/>
            <w:vAlign w:val="center"/>
            <w:hideMark/>
          </w:tcPr>
          <w:p w14:paraId="70F09F2C"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Primary survey using ABCDE approach should be performed.</w:t>
            </w:r>
          </w:p>
        </w:tc>
      </w:tr>
      <w:tr w:rsidR="006658D7" w:rsidRPr="001517B8" w14:paraId="1C7E82A3" w14:textId="77777777" w:rsidTr="001517B8">
        <w:trPr>
          <w:tblCellSpacing w:w="15" w:type="dxa"/>
        </w:trPr>
        <w:tc>
          <w:tcPr>
            <w:tcW w:w="0" w:type="auto"/>
            <w:vAlign w:val="center"/>
            <w:hideMark/>
          </w:tcPr>
          <w:p w14:paraId="489725B6"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Monitoring</w:t>
            </w:r>
          </w:p>
        </w:tc>
        <w:tc>
          <w:tcPr>
            <w:tcW w:w="0" w:type="auto"/>
            <w:vAlign w:val="center"/>
            <w:hideMark/>
          </w:tcPr>
          <w:p w14:paraId="698E8B2F"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Patient should be placed on monitors and vital signs reassessed.</w:t>
            </w:r>
          </w:p>
        </w:tc>
      </w:tr>
      <w:tr w:rsidR="006658D7" w:rsidRPr="001517B8" w14:paraId="3CCA724E" w14:textId="77777777" w:rsidTr="001517B8">
        <w:trPr>
          <w:tblCellSpacing w:w="15" w:type="dxa"/>
        </w:trPr>
        <w:tc>
          <w:tcPr>
            <w:tcW w:w="0" w:type="auto"/>
            <w:vAlign w:val="center"/>
            <w:hideMark/>
          </w:tcPr>
          <w:p w14:paraId="3C6664A8"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Hemorrhage control</w:t>
            </w:r>
          </w:p>
        </w:tc>
        <w:tc>
          <w:tcPr>
            <w:tcW w:w="0" w:type="auto"/>
            <w:vAlign w:val="center"/>
            <w:hideMark/>
          </w:tcPr>
          <w:p w14:paraId="3F3058C6"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Existing tourniquet should be inspected to confirm bleeding control.</w:t>
            </w:r>
          </w:p>
        </w:tc>
      </w:tr>
      <w:tr w:rsidR="006658D7" w:rsidRPr="001517B8" w14:paraId="2526A96D" w14:textId="77777777" w:rsidTr="001517B8">
        <w:trPr>
          <w:tblCellSpacing w:w="15" w:type="dxa"/>
        </w:trPr>
        <w:tc>
          <w:tcPr>
            <w:tcW w:w="0" w:type="auto"/>
            <w:vAlign w:val="center"/>
            <w:hideMark/>
          </w:tcPr>
          <w:p w14:paraId="3D8FF407"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Limb bleeding</w:t>
            </w:r>
          </w:p>
        </w:tc>
        <w:tc>
          <w:tcPr>
            <w:tcW w:w="0" w:type="auto"/>
            <w:vAlign w:val="center"/>
            <w:hideMark/>
          </w:tcPr>
          <w:p w14:paraId="56917447"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Ongoing bleeding should be controlled with tourniquet management; switch to automatic tourniquet if needed.</w:t>
            </w:r>
          </w:p>
        </w:tc>
      </w:tr>
      <w:tr w:rsidR="006658D7" w:rsidRPr="001517B8" w14:paraId="65BB88DA" w14:textId="77777777" w:rsidTr="001517B8">
        <w:trPr>
          <w:tblCellSpacing w:w="15" w:type="dxa"/>
        </w:trPr>
        <w:tc>
          <w:tcPr>
            <w:tcW w:w="0" w:type="auto"/>
            <w:vAlign w:val="center"/>
            <w:hideMark/>
          </w:tcPr>
          <w:p w14:paraId="573E8813"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Pelvic injury</w:t>
            </w:r>
          </w:p>
        </w:tc>
        <w:tc>
          <w:tcPr>
            <w:tcW w:w="0" w:type="auto"/>
            <w:vAlign w:val="center"/>
            <w:hideMark/>
          </w:tcPr>
          <w:p w14:paraId="14F713B3"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Pelvic binder should be confirmed or applied because the pelvis is unstable.</w:t>
            </w:r>
          </w:p>
        </w:tc>
      </w:tr>
      <w:tr w:rsidR="006658D7" w:rsidRPr="001517B8" w14:paraId="41848121" w14:textId="77777777" w:rsidTr="001517B8">
        <w:trPr>
          <w:tblCellSpacing w:w="15" w:type="dxa"/>
        </w:trPr>
        <w:tc>
          <w:tcPr>
            <w:tcW w:w="0" w:type="auto"/>
            <w:vAlign w:val="center"/>
            <w:hideMark/>
          </w:tcPr>
          <w:p w14:paraId="667DF054"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IV/IO access</w:t>
            </w:r>
          </w:p>
        </w:tc>
        <w:tc>
          <w:tcPr>
            <w:tcW w:w="0" w:type="auto"/>
            <w:vAlign w:val="center"/>
            <w:hideMark/>
          </w:tcPr>
          <w:p w14:paraId="0879BE41"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A second large-bore IV should be obtained; if not possible, IO access should be placed in the unaffected limb.</w:t>
            </w:r>
          </w:p>
        </w:tc>
      </w:tr>
      <w:tr w:rsidR="006658D7" w:rsidRPr="001517B8" w14:paraId="10B48239" w14:textId="77777777" w:rsidTr="001517B8">
        <w:trPr>
          <w:tblCellSpacing w:w="15" w:type="dxa"/>
        </w:trPr>
        <w:tc>
          <w:tcPr>
            <w:tcW w:w="0" w:type="auto"/>
            <w:vAlign w:val="center"/>
            <w:hideMark/>
          </w:tcPr>
          <w:p w14:paraId="135AADB3"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Blood products</w:t>
            </w:r>
          </w:p>
        </w:tc>
        <w:tc>
          <w:tcPr>
            <w:tcW w:w="0" w:type="auto"/>
            <w:vAlign w:val="center"/>
            <w:hideMark/>
          </w:tcPr>
          <w:p w14:paraId="18C67649"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Blood should be requested and administered rapidly.</w:t>
            </w:r>
          </w:p>
        </w:tc>
      </w:tr>
      <w:tr w:rsidR="006658D7" w:rsidRPr="001517B8" w14:paraId="5254EE30" w14:textId="77777777" w:rsidTr="001517B8">
        <w:trPr>
          <w:tblCellSpacing w:w="15" w:type="dxa"/>
        </w:trPr>
        <w:tc>
          <w:tcPr>
            <w:tcW w:w="0" w:type="auto"/>
            <w:vAlign w:val="center"/>
            <w:hideMark/>
          </w:tcPr>
          <w:p w14:paraId="77F484EB"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Massive hemorrhage protocol</w:t>
            </w:r>
          </w:p>
        </w:tc>
        <w:tc>
          <w:tcPr>
            <w:tcW w:w="0" w:type="auto"/>
            <w:vAlign w:val="center"/>
            <w:hideMark/>
          </w:tcPr>
          <w:p w14:paraId="7A9C1EC2"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Massive hemorrhage protocol should be activated when hypotension persists.</w:t>
            </w:r>
          </w:p>
        </w:tc>
      </w:tr>
      <w:tr w:rsidR="006658D7" w:rsidRPr="001517B8" w14:paraId="14129481" w14:textId="77777777" w:rsidTr="001517B8">
        <w:trPr>
          <w:tblCellSpacing w:w="15" w:type="dxa"/>
        </w:trPr>
        <w:tc>
          <w:tcPr>
            <w:tcW w:w="0" w:type="auto"/>
            <w:vAlign w:val="center"/>
            <w:hideMark/>
          </w:tcPr>
          <w:p w14:paraId="1F428F11"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TXA</w:t>
            </w:r>
          </w:p>
        </w:tc>
        <w:tc>
          <w:tcPr>
            <w:tcW w:w="0" w:type="auto"/>
            <w:vAlign w:val="center"/>
            <w:hideMark/>
          </w:tcPr>
          <w:p w14:paraId="57773AAB"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TXA administration should be confirmed or given if not already completed.</w:t>
            </w:r>
          </w:p>
        </w:tc>
      </w:tr>
      <w:tr w:rsidR="006658D7" w:rsidRPr="001517B8" w14:paraId="139FDE86" w14:textId="77777777" w:rsidTr="001517B8">
        <w:trPr>
          <w:tblCellSpacing w:w="15" w:type="dxa"/>
        </w:trPr>
        <w:tc>
          <w:tcPr>
            <w:tcW w:w="0" w:type="auto"/>
            <w:vAlign w:val="center"/>
            <w:hideMark/>
          </w:tcPr>
          <w:p w14:paraId="27D7DF4C"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lastRenderedPageBreak/>
              <w:t>Analgesia</w:t>
            </w:r>
          </w:p>
        </w:tc>
        <w:tc>
          <w:tcPr>
            <w:tcW w:w="0" w:type="auto"/>
            <w:vAlign w:val="center"/>
            <w:hideMark/>
          </w:tcPr>
          <w:p w14:paraId="1F9E368F"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Adequate pain control should be provided.</w:t>
            </w:r>
          </w:p>
        </w:tc>
      </w:tr>
      <w:tr w:rsidR="006658D7" w:rsidRPr="001517B8" w14:paraId="416624E1" w14:textId="77777777" w:rsidTr="001517B8">
        <w:trPr>
          <w:tblCellSpacing w:w="15" w:type="dxa"/>
        </w:trPr>
        <w:tc>
          <w:tcPr>
            <w:tcW w:w="0" w:type="auto"/>
            <w:vAlign w:val="center"/>
            <w:hideMark/>
          </w:tcPr>
          <w:p w14:paraId="77287499"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Imaging</w:t>
            </w:r>
          </w:p>
        </w:tc>
        <w:tc>
          <w:tcPr>
            <w:tcW w:w="0" w:type="auto"/>
            <w:vAlign w:val="center"/>
            <w:hideMark/>
          </w:tcPr>
          <w:p w14:paraId="660DFB14"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FAST exam should be performed and is positive for free fluid. CXR, pelvis X-ray, and leg X-ray should be requested.</w:t>
            </w:r>
          </w:p>
        </w:tc>
      </w:tr>
      <w:tr w:rsidR="006658D7" w:rsidRPr="001517B8" w14:paraId="3839C9FE" w14:textId="77777777" w:rsidTr="001517B8">
        <w:trPr>
          <w:tblCellSpacing w:w="15" w:type="dxa"/>
        </w:trPr>
        <w:tc>
          <w:tcPr>
            <w:tcW w:w="0" w:type="auto"/>
            <w:vAlign w:val="center"/>
            <w:hideMark/>
          </w:tcPr>
          <w:p w14:paraId="06A193D3"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Laboratory work</w:t>
            </w:r>
          </w:p>
        </w:tc>
        <w:tc>
          <w:tcPr>
            <w:tcW w:w="0" w:type="auto"/>
            <w:vAlign w:val="center"/>
            <w:hideMark/>
          </w:tcPr>
          <w:p w14:paraId="7FB0AF16"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Trauma blood work should be sent, including group and screen.</w:t>
            </w:r>
          </w:p>
        </w:tc>
      </w:tr>
      <w:tr w:rsidR="006658D7" w:rsidRPr="001517B8" w14:paraId="4E86FE31" w14:textId="77777777" w:rsidTr="001517B8">
        <w:trPr>
          <w:tblCellSpacing w:w="15" w:type="dxa"/>
        </w:trPr>
        <w:tc>
          <w:tcPr>
            <w:tcW w:w="0" w:type="auto"/>
            <w:vAlign w:val="center"/>
            <w:hideMark/>
          </w:tcPr>
          <w:p w14:paraId="1C06D770"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Clinical deterioration if delayed</w:t>
            </w:r>
          </w:p>
        </w:tc>
        <w:tc>
          <w:tcPr>
            <w:tcW w:w="0" w:type="auto"/>
            <w:vAlign w:val="center"/>
            <w:hideMark/>
          </w:tcPr>
          <w:p w14:paraId="4D83A613"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If blood is not given within 5 minutes, BP drops to 70/30 and HR rises to 140.</w:t>
            </w:r>
          </w:p>
        </w:tc>
      </w:tr>
      <w:tr w:rsidR="006658D7" w:rsidRPr="001517B8" w14:paraId="6BDC086A" w14:textId="77777777" w:rsidTr="001517B8">
        <w:trPr>
          <w:tblCellSpacing w:w="15" w:type="dxa"/>
        </w:trPr>
        <w:tc>
          <w:tcPr>
            <w:tcW w:w="0" w:type="auto"/>
            <w:vAlign w:val="center"/>
            <w:hideMark/>
          </w:tcPr>
          <w:p w14:paraId="2BD28F18"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Intubation decision</w:t>
            </w:r>
          </w:p>
        </w:tc>
        <w:tc>
          <w:tcPr>
            <w:tcW w:w="0" w:type="auto"/>
            <w:vAlign w:val="center"/>
            <w:hideMark/>
          </w:tcPr>
          <w:p w14:paraId="47C857C5"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Patient should not be intubated before resuscitation. He should receive blood products first.</w:t>
            </w:r>
          </w:p>
        </w:tc>
      </w:tr>
      <w:tr w:rsidR="006658D7" w:rsidRPr="001517B8" w14:paraId="7993D57E" w14:textId="77777777" w:rsidTr="001517B8">
        <w:trPr>
          <w:tblCellSpacing w:w="15" w:type="dxa"/>
        </w:trPr>
        <w:tc>
          <w:tcPr>
            <w:tcW w:w="0" w:type="auto"/>
            <w:vAlign w:val="center"/>
            <w:hideMark/>
          </w:tcPr>
          <w:p w14:paraId="733BC144"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Resuscitation before intubation</w:t>
            </w:r>
          </w:p>
        </w:tc>
        <w:tc>
          <w:tcPr>
            <w:tcW w:w="0" w:type="auto"/>
            <w:vAlign w:val="center"/>
            <w:hideMark/>
          </w:tcPr>
          <w:p w14:paraId="56724A28"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Four units of PRBCs should be given before intubation, improving BP to about 100/60 and HR to 110.</w:t>
            </w:r>
          </w:p>
        </w:tc>
      </w:tr>
      <w:tr w:rsidR="006658D7" w:rsidRPr="001517B8" w14:paraId="59E080DB" w14:textId="77777777" w:rsidTr="001517B8">
        <w:trPr>
          <w:tblCellSpacing w:w="15" w:type="dxa"/>
        </w:trPr>
        <w:tc>
          <w:tcPr>
            <w:tcW w:w="0" w:type="auto"/>
            <w:vAlign w:val="center"/>
            <w:hideMark/>
          </w:tcPr>
          <w:p w14:paraId="3772315E"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Surgical consultation</w:t>
            </w:r>
          </w:p>
        </w:tc>
        <w:tc>
          <w:tcPr>
            <w:tcW w:w="0" w:type="auto"/>
            <w:vAlign w:val="center"/>
            <w:hideMark/>
          </w:tcPr>
          <w:p w14:paraId="32DCC0E3"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Surgery should be consulted early.</w:t>
            </w:r>
          </w:p>
        </w:tc>
      </w:tr>
      <w:tr w:rsidR="006658D7" w:rsidRPr="001517B8" w14:paraId="25602370" w14:textId="77777777" w:rsidTr="001517B8">
        <w:trPr>
          <w:tblCellSpacing w:w="15" w:type="dxa"/>
        </w:trPr>
        <w:tc>
          <w:tcPr>
            <w:tcW w:w="0" w:type="auto"/>
            <w:vAlign w:val="center"/>
            <w:hideMark/>
          </w:tcPr>
          <w:p w14:paraId="14BC3AD6"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Disposition</w:t>
            </w:r>
          </w:p>
        </w:tc>
        <w:tc>
          <w:tcPr>
            <w:tcW w:w="0" w:type="auto"/>
            <w:vAlign w:val="center"/>
            <w:hideMark/>
          </w:tcPr>
          <w:p w14:paraId="1429DF17"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Patient should be transferred urgently to the operating room.</w:t>
            </w:r>
          </w:p>
        </w:tc>
      </w:tr>
      <w:tr w:rsidR="006658D7" w:rsidRPr="001517B8" w14:paraId="670CE13C" w14:textId="77777777" w:rsidTr="001517B8">
        <w:trPr>
          <w:tblCellSpacing w:w="15" w:type="dxa"/>
        </w:trPr>
        <w:tc>
          <w:tcPr>
            <w:tcW w:w="0" w:type="auto"/>
            <w:vAlign w:val="center"/>
            <w:hideMark/>
          </w:tcPr>
          <w:p w14:paraId="743C4E5C"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Post-intubation care</w:t>
            </w:r>
          </w:p>
        </w:tc>
        <w:tc>
          <w:tcPr>
            <w:tcW w:w="0" w:type="auto"/>
            <w:vAlign w:val="center"/>
            <w:hideMark/>
          </w:tcPr>
          <w:p w14:paraId="489714FC"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Post-intubation sedation/analgesia should be provided.</w:t>
            </w:r>
          </w:p>
        </w:tc>
      </w:tr>
      <w:tr w:rsidR="006658D7" w:rsidRPr="001517B8" w14:paraId="4B835A34" w14:textId="77777777" w:rsidTr="001517B8">
        <w:trPr>
          <w:tblCellSpacing w:w="15" w:type="dxa"/>
        </w:trPr>
        <w:tc>
          <w:tcPr>
            <w:tcW w:w="0" w:type="auto"/>
            <w:vAlign w:val="center"/>
            <w:hideMark/>
          </w:tcPr>
          <w:p w14:paraId="7429A4E4"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Wound/infection prevention</w:t>
            </w:r>
          </w:p>
        </w:tc>
        <w:tc>
          <w:tcPr>
            <w:tcW w:w="0" w:type="auto"/>
            <w:vAlign w:val="center"/>
            <w:hideMark/>
          </w:tcPr>
          <w:p w14:paraId="7CA7C6D2" w14:textId="77777777" w:rsidR="006658D7" w:rsidRPr="001517B8" w:rsidRDefault="006658D7" w:rsidP="001517B8">
            <w:pPr>
              <w:jc w:val="both"/>
              <w:rPr>
                <w:rFonts w:eastAsia="Times New Roman" w:cs="Times New Roman"/>
                <w:kern w:val="0"/>
                <w:lang w:eastAsia="el-GR"/>
                <w14:ligatures w14:val="none"/>
              </w:rPr>
            </w:pPr>
            <w:r w:rsidRPr="001517B8">
              <w:rPr>
                <w:rFonts w:eastAsia="Times New Roman" w:cs="Times New Roman"/>
                <w:kern w:val="0"/>
                <w:lang w:eastAsia="el-GR"/>
                <w14:ligatures w14:val="none"/>
              </w:rPr>
              <w:t>Antibiotics and tetanus should be administered.</w:t>
            </w:r>
          </w:p>
        </w:tc>
      </w:tr>
    </w:tbl>
    <w:p w14:paraId="092856BC" w14:textId="77777777" w:rsidR="006658D7" w:rsidRPr="001517B8" w:rsidRDefault="006658D7" w:rsidP="001517B8">
      <w:pPr>
        <w:spacing w:before="100" w:beforeAutospacing="1" w:after="100" w:afterAutospacing="1"/>
        <w:jc w:val="both"/>
        <w:outlineLvl w:val="1"/>
        <w:rPr>
          <w:rFonts w:eastAsia="Times New Roman" w:cs="Times New Roman"/>
          <w:b/>
          <w:bCs/>
          <w:kern w:val="0"/>
          <w:sz w:val="36"/>
          <w:szCs w:val="36"/>
          <w:lang w:eastAsia="el-GR"/>
          <w14:ligatures w14:val="none"/>
        </w:rPr>
      </w:pPr>
      <w:r w:rsidRPr="001517B8">
        <w:rPr>
          <w:rFonts w:eastAsia="Times New Roman" w:cs="Times New Roman"/>
          <w:b/>
          <w:bCs/>
          <w:kern w:val="0"/>
          <w:sz w:val="36"/>
          <w:szCs w:val="36"/>
          <w:lang w:eastAsia="el-GR"/>
          <w14:ligatures w14:val="none"/>
        </w:rPr>
        <w:t>Correct Final Answer / Expected Clinical Decision</w:t>
      </w:r>
    </w:p>
    <w:p w14:paraId="6B94159A" w14:textId="77777777" w:rsidR="006658D7" w:rsidRPr="001517B8" w:rsidRDefault="006658D7" w:rsidP="001517B8">
      <w:pPr>
        <w:spacing w:before="100" w:beforeAutospacing="1" w:after="100" w:afterAutospacing="1"/>
        <w:jc w:val="both"/>
        <w:rPr>
          <w:rFonts w:eastAsia="Times New Roman" w:cs="Times New Roman"/>
          <w:kern w:val="0"/>
          <w:lang w:eastAsia="el-GR"/>
          <w14:ligatures w14:val="none"/>
        </w:rPr>
      </w:pPr>
      <w:r w:rsidRPr="001517B8">
        <w:rPr>
          <w:rFonts w:eastAsia="Times New Roman" w:cs="Times New Roman"/>
          <w:kern w:val="0"/>
          <w:lang w:eastAsia="el-GR"/>
          <w14:ligatures w14:val="none"/>
        </w:rPr>
        <w:t>The correct decision is:</w:t>
      </w:r>
    </w:p>
    <w:p w14:paraId="2B0DB4B3" w14:textId="77777777" w:rsidR="006658D7" w:rsidRPr="001517B8" w:rsidRDefault="006658D7" w:rsidP="001517B8">
      <w:pPr>
        <w:spacing w:before="100" w:beforeAutospacing="1" w:after="100" w:afterAutospacing="1"/>
        <w:jc w:val="both"/>
        <w:rPr>
          <w:rFonts w:eastAsia="Times New Roman" w:cs="Times New Roman"/>
          <w:kern w:val="0"/>
          <w:lang w:eastAsia="el-GR"/>
          <w14:ligatures w14:val="none"/>
        </w:rPr>
      </w:pPr>
      <w:r w:rsidRPr="001517B8">
        <w:rPr>
          <w:rFonts w:eastAsia="Times New Roman" w:cs="Times New Roman"/>
          <w:b/>
          <w:bCs/>
          <w:kern w:val="0"/>
          <w:lang w:eastAsia="el-GR"/>
          <w14:ligatures w14:val="none"/>
        </w:rPr>
        <w:t>Do not intubate immediately before resuscitation. The patient is in hemorrhagic shock and requires immediate hemorrhage control, activation of the massive hemorrhage protocol, rapid blood product administration, confirmation of tourniquet and pelvic binder effectiveness, FAST assessment, and early surgical consultation. Once resuscitated with blood products, the patient should be intubated for operative management and transferred urgently to the operating room.</w:t>
      </w:r>
    </w:p>
    <w:p w14:paraId="47DA0554" w14:textId="77777777" w:rsidR="006658D7" w:rsidRPr="001517B8" w:rsidRDefault="006658D7" w:rsidP="001517B8">
      <w:pPr>
        <w:spacing w:before="100" w:beforeAutospacing="1" w:after="100" w:afterAutospacing="1"/>
        <w:jc w:val="both"/>
        <w:outlineLvl w:val="1"/>
        <w:rPr>
          <w:rFonts w:eastAsia="Times New Roman" w:cs="Times New Roman"/>
          <w:b/>
          <w:bCs/>
          <w:kern w:val="0"/>
          <w:sz w:val="36"/>
          <w:szCs w:val="36"/>
          <w:lang w:eastAsia="el-GR"/>
          <w14:ligatures w14:val="none"/>
        </w:rPr>
      </w:pPr>
      <w:r w:rsidRPr="001517B8">
        <w:rPr>
          <w:rFonts w:eastAsia="Times New Roman" w:cs="Times New Roman"/>
          <w:b/>
          <w:bCs/>
          <w:kern w:val="0"/>
          <w:sz w:val="36"/>
          <w:szCs w:val="36"/>
          <w:lang w:eastAsia="el-GR"/>
          <w14:ligatures w14:val="none"/>
        </w:rPr>
        <w:t>Key Ground Truth Outcome</w:t>
      </w:r>
    </w:p>
    <w:p w14:paraId="120B3A3D" w14:textId="77777777" w:rsidR="006658D7" w:rsidRPr="001517B8" w:rsidRDefault="006658D7" w:rsidP="001517B8">
      <w:pPr>
        <w:spacing w:before="100" w:beforeAutospacing="1" w:after="100" w:afterAutospacing="1"/>
        <w:jc w:val="both"/>
        <w:rPr>
          <w:rFonts w:eastAsia="Times New Roman" w:cs="Times New Roman"/>
          <w:kern w:val="0"/>
          <w:lang w:eastAsia="el-GR"/>
          <w14:ligatures w14:val="none"/>
        </w:rPr>
      </w:pPr>
      <w:r w:rsidRPr="001517B8">
        <w:rPr>
          <w:rFonts w:eastAsia="Times New Roman" w:cs="Times New Roman"/>
          <w:kern w:val="0"/>
          <w:lang w:eastAsia="el-GR"/>
          <w14:ligatures w14:val="none"/>
        </w:rPr>
        <w:t xml:space="preserve">The expected endpoint is that the patient receives </w:t>
      </w:r>
      <w:r w:rsidRPr="001517B8">
        <w:rPr>
          <w:rFonts w:eastAsia="Times New Roman" w:cs="Times New Roman"/>
          <w:b/>
          <w:bCs/>
          <w:kern w:val="0"/>
          <w:lang w:eastAsia="el-GR"/>
          <w14:ligatures w14:val="none"/>
        </w:rPr>
        <w:t>4 units of PRBCs</w:t>
      </w:r>
      <w:r w:rsidRPr="001517B8">
        <w:rPr>
          <w:rFonts w:eastAsia="Times New Roman" w:cs="Times New Roman"/>
          <w:kern w:val="0"/>
          <w:lang w:eastAsia="el-GR"/>
          <w14:ligatures w14:val="none"/>
        </w:rPr>
        <w:t xml:space="preserve">, is </w:t>
      </w:r>
      <w:r w:rsidRPr="001517B8">
        <w:rPr>
          <w:rFonts w:eastAsia="Times New Roman" w:cs="Times New Roman"/>
          <w:b/>
          <w:bCs/>
          <w:kern w:val="0"/>
          <w:lang w:eastAsia="el-GR"/>
          <w14:ligatures w14:val="none"/>
        </w:rPr>
        <w:t>intubated after resuscitation</w:t>
      </w:r>
      <w:r w:rsidRPr="001517B8">
        <w:rPr>
          <w:rFonts w:eastAsia="Times New Roman" w:cs="Times New Roman"/>
          <w:kern w:val="0"/>
          <w:lang w:eastAsia="el-GR"/>
          <w14:ligatures w14:val="none"/>
        </w:rPr>
        <w:t xml:space="preserve">, surgery is contacted, and the patient is prepared for transfer to the </w:t>
      </w:r>
      <w:r w:rsidRPr="001517B8">
        <w:rPr>
          <w:rFonts w:eastAsia="Times New Roman" w:cs="Times New Roman"/>
          <w:b/>
          <w:bCs/>
          <w:kern w:val="0"/>
          <w:lang w:eastAsia="el-GR"/>
          <w14:ligatures w14:val="none"/>
        </w:rPr>
        <w:t>operating room</w:t>
      </w:r>
      <w:r w:rsidRPr="001517B8">
        <w:rPr>
          <w:rFonts w:eastAsia="Times New Roman" w:cs="Times New Roman"/>
          <w:kern w:val="0"/>
          <w:lang w:eastAsia="el-GR"/>
          <w14:ligatures w14:val="none"/>
        </w:rPr>
        <w:t>. The final stabilized state is approximately HR 110, BP 90/65, oxygen saturation 98% with ETT, respiratory rate 12 on ventilator, and GCS 3 post-induction.</w:t>
      </w:r>
    </w:p>
    <w:p w14:paraId="734678E8" w14:textId="77777777" w:rsidR="006658D7" w:rsidRPr="006658D7" w:rsidRDefault="006658D7">
      <w:pPr>
        <w:rPr>
          <w:lang w:val="en-US"/>
        </w:rPr>
      </w:pPr>
    </w:p>
    <w:sectPr w:rsidR="006658D7" w:rsidRPr="006658D7"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D7"/>
    <w:rsid w:val="000F1CC1"/>
    <w:rsid w:val="001517B8"/>
    <w:rsid w:val="00310592"/>
    <w:rsid w:val="0056380E"/>
    <w:rsid w:val="006658D7"/>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724F5DF"/>
  <w15:chartTrackingRefBased/>
  <w15:docId w15:val="{55524DFF-0FC6-9549-83C3-0DF3DE28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658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658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658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658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658D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658D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658D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658D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658D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658D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658D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658D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658D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658D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658D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658D7"/>
    <w:rPr>
      <w:rFonts w:eastAsiaTheme="majorEastAsia" w:cstheme="majorBidi"/>
      <w:color w:val="272727" w:themeColor="text1" w:themeTint="D8"/>
    </w:rPr>
  </w:style>
  <w:style w:type="paragraph" w:styleId="a3">
    <w:name w:val="Title"/>
    <w:basedOn w:val="a"/>
    <w:next w:val="a"/>
    <w:link w:val="Char"/>
    <w:uiPriority w:val="10"/>
    <w:qFormat/>
    <w:rsid w:val="006658D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658D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658D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658D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658D7"/>
    <w:pPr>
      <w:spacing w:before="160" w:after="160"/>
      <w:jc w:val="center"/>
    </w:pPr>
    <w:rPr>
      <w:i/>
      <w:iCs/>
      <w:color w:val="404040" w:themeColor="text1" w:themeTint="BF"/>
    </w:rPr>
  </w:style>
  <w:style w:type="character" w:customStyle="1" w:styleId="Char1">
    <w:name w:val="Απόσπασμα Char"/>
    <w:basedOn w:val="a0"/>
    <w:link w:val="a5"/>
    <w:uiPriority w:val="29"/>
    <w:rsid w:val="006658D7"/>
    <w:rPr>
      <w:i/>
      <w:iCs/>
      <w:color w:val="404040" w:themeColor="text1" w:themeTint="BF"/>
    </w:rPr>
  </w:style>
  <w:style w:type="paragraph" w:styleId="a6">
    <w:name w:val="List Paragraph"/>
    <w:basedOn w:val="a"/>
    <w:uiPriority w:val="34"/>
    <w:qFormat/>
    <w:rsid w:val="006658D7"/>
    <w:pPr>
      <w:ind w:left="720"/>
      <w:contextualSpacing/>
    </w:pPr>
  </w:style>
  <w:style w:type="character" w:styleId="a7">
    <w:name w:val="Intense Emphasis"/>
    <w:basedOn w:val="a0"/>
    <w:uiPriority w:val="21"/>
    <w:qFormat/>
    <w:rsid w:val="006658D7"/>
    <w:rPr>
      <w:i/>
      <w:iCs/>
      <w:color w:val="0F4761" w:themeColor="accent1" w:themeShade="BF"/>
    </w:rPr>
  </w:style>
  <w:style w:type="paragraph" w:styleId="a8">
    <w:name w:val="Intense Quote"/>
    <w:basedOn w:val="a"/>
    <w:next w:val="a"/>
    <w:link w:val="Char2"/>
    <w:uiPriority w:val="30"/>
    <w:qFormat/>
    <w:rsid w:val="006658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658D7"/>
    <w:rPr>
      <w:i/>
      <w:iCs/>
      <w:color w:val="0F4761" w:themeColor="accent1" w:themeShade="BF"/>
    </w:rPr>
  </w:style>
  <w:style w:type="character" w:styleId="a9">
    <w:name w:val="Intense Reference"/>
    <w:basedOn w:val="a0"/>
    <w:uiPriority w:val="32"/>
    <w:qFormat/>
    <w:rsid w:val="006658D7"/>
    <w:rPr>
      <w:b/>
      <w:bCs/>
      <w:smallCaps/>
      <w:color w:val="0F4761" w:themeColor="accent1" w:themeShade="BF"/>
      <w:spacing w:val="5"/>
    </w:rPr>
  </w:style>
  <w:style w:type="paragraph" w:styleId="Web">
    <w:name w:val="Normal (Web)"/>
    <w:basedOn w:val="a"/>
    <w:uiPriority w:val="99"/>
    <w:semiHidden/>
    <w:unhideWhenUsed/>
    <w:rsid w:val="006658D7"/>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6658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498</Words>
  <Characters>3070</Characters>
  <Application>Microsoft Office Word</Application>
  <DocSecurity>0</DocSecurity>
  <Lines>90</Lines>
  <Paragraphs>63</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2</cp:revision>
  <dcterms:created xsi:type="dcterms:W3CDTF">2026-06-02T18:13:00Z</dcterms:created>
  <dcterms:modified xsi:type="dcterms:W3CDTF">2026-06-04T17:22:00Z</dcterms:modified>
</cp:coreProperties>
</file>