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EF56C" w14:textId="77777777" w:rsidR="00AE7E5D" w:rsidRPr="00AE7E5D" w:rsidRDefault="00AE7E5D" w:rsidP="00AE7E5D">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AE7E5D">
        <w:rPr>
          <w:rFonts w:ascii="Times New Roman" w:eastAsia="Times New Roman" w:hAnsi="Times New Roman" w:cs="Times New Roman"/>
          <w:b/>
          <w:bCs/>
          <w:kern w:val="0"/>
          <w:sz w:val="36"/>
          <w:szCs w:val="36"/>
          <w:lang w:eastAsia="el-GR"/>
          <w14:ligatures w14:val="none"/>
        </w:rPr>
        <w:t>Decision-Making Task</w:t>
      </w:r>
    </w:p>
    <w:p w14:paraId="4CFA0B1F" w14:textId="77777777" w:rsidR="00AE7E5D" w:rsidRPr="00AE7E5D" w:rsidRDefault="00AE7E5D" w:rsidP="00AE7E5D">
      <w:pPr>
        <w:spacing w:before="100" w:beforeAutospacing="1" w:after="100" w:afterAutospacing="1"/>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The team must decide the safest immediate management plan.</w:t>
      </w:r>
    </w:p>
    <w:p w14:paraId="2F898AC4" w14:textId="77777777" w:rsidR="00AE7E5D" w:rsidRPr="00AE7E5D" w:rsidRDefault="00AE7E5D" w:rsidP="00AE7E5D">
      <w:pPr>
        <w:spacing w:before="100" w:beforeAutospacing="1" w:after="100" w:afterAutospacing="1"/>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The central clinical question is:</w:t>
      </w:r>
    </w:p>
    <w:p w14:paraId="4A9D4743" w14:textId="77777777" w:rsidR="00AE7E5D" w:rsidRPr="00AE7E5D" w:rsidRDefault="00AE7E5D" w:rsidP="00AE7E5D">
      <w:pPr>
        <w:spacing w:before="100" w:beforeAutospacing="1" w:after="100" w:afterAutospacing="1"/>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b/>
          <w:bCs/>
          <w:kern w:val="0"/>
          <w:lang w:eastAsia="el-GR"/>
          <w14:ligatures w14:val="none"/>
        </w:rPr>
        <w:t>Should the patient be allowed to refuse treatment and leave, or should the team treat this as a dangerous intentional acetaminophen overdose requiring urgent NAC therapy and involuntary admission for safety?</w:t>
      </w:r>
    </w:p>
    <w:p w14:paraId="0EC3A8D0" w14:textId="77777777" w:rsidR="00AE7E5D" w:rsidRPr="00AE7E5D" w:rsidRDefault="00AE7E5D" w:rsidP="00AE7E5D">
      <w:pPr>
        <w:spacing w:before="100" w:beforeAutospacing="1" w:after="100" w:afterAutospacing="1"/>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 xml:space="preserve">The expected decision is to identify acute acetaminophen toxicity, confirm ingestion time and amount, order appropriate toxicology investigations, use the Rumack–Matthew nomogram, start </w:t>
      </w:r>
      <w:r w:rsidRPr="00AE7E5D">
        <w:rPr>
          <w:rFonts w:ascii="Times New Roman" w:eastAsia="Times New Roman" w:hAnsi="Times New Roman" w:cs="Times New Roman"/>
          <w:b/>
          <w:bCs/>
          <w:kern w:val="0"/>
          <w:lang w:eastAsia="el-GR"/>
          <w14:ligatures w14:val="none"/>
        </w:rPr>
        <w:t>N-acetylcysteine (NAC)</w:t>
      </w:r>
      <w:r w:rsidRPr="00AE7E5D">
        <w:rPr>
          <w:rFonts w:ascii="Times New Roman" w:eastAsia="Times New Roman" w:hAnsi="Times New Roman" w:cs="Times New Roman"/>
          <w:kern w:val="0"/>
          <w:lang w:eastAsia="el-GR"/>
          <w14:ligatures w14:val="none"/>
        </w:rPr>
        <w:t>, verbally de-escalate the patient, and complete the required involuntary psychiatric hold when he attempts to leave after a deliberate overdose.</w:t>
      </w:r>
    </w:p>
    <w:p w14:paraId="032FF461" w14:textId="77777777" w:rsidR="00AE7E5D" w:rsidRPr="00AE7E5D" w:rsidRDefault="00AE7E5D" w:rsidP="00AE7E5D">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AE7E5D">
        <w:rPr>
          <w:rFonts w:ascii="Times New Roman" w:eastAsia="Times New Roman" w:hAnsi="Times New Roman" w:cs="Times New Roman"/>
          <w:b/>
          <w:bCs/>
          <w:kern w:val="0"/>
          <w:sz w:val="36"/>
          <w:szCs w:val="36"/>
          <w:lang w:eastAsia="el-GR"/>
          <w14:ligatures w14:val="none"/>
        </w:rPr>
        <w:t>Ground Truth / Final Evaluation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6434"/>
      </w:tblGrid>
      <w:tr w:rsidR="00AE7E5D" w:rsidRPr="00AE7E5D" w14:paraId="02EA69E5" w14:textId="77777777">
        <w:trPr>
          <w:tblHeader/>
          <w:tblCellSpacing w:w="15" w:type="dxa"/>
        </w:trPr>
        <w:tc>
          <w:tcPr>
            <w:tcW w:w="0" w:type="auto"/>
            <w:vAlign w:val="center"/>
            <w:hideMark/>
          </w:tcPr>
          <w:p w14:paraId="61BEE548" w14:textId="77777777" w:rsidR="00AE7E5D" w:rsidRPr="00AE7E5D" w:rsidRDefault="00AE7E5D" w:rsidP="00AE7E5D">
            <w:pPr>
              <w:jc w:val="center"/>
              <w:rPr>
                <w:rFonts w:ascii="Times New Roman" w:eastAsia="Times New Roman" w:hAnsi="Times New Roman" w:cs="Times New Roman"/>
                <w:b/>
                <w:bCs/>
                <w:kern w:val="0"/>
                <w:lang w:eastAsia="el-GR"/>
                <w14:ligatures w14:val="none"/>
              </w:rPr>
            </w:pPr>
            <w:r w:rsidRPr="00AE7E5D">
              <w:rPr>
                <w:rFonts w:ascii="Times New Roman" w:eastAsia="Times New Roman" w:hAnsi="Times New Roman" w:cs="Times New Roman"/>
                <w:b/>
                <w:bCs/>
                <w:kern w:val="0"/>
                <w:lang w:eastAsia="el-GR"/>
                <w14:ligatures w14:val="none"/>
              </w:rPr>
              <w:t>Evaluation Point</w:t>
            </w:r>
          </w:p>
        </w:tc>
        <w:tc>
          <w:tcPr>
            <w:tcW w:w="0" w:type="auto"/>
            <w:vAlign w:val="center"/>
            <w:hideMark/>
          </w:tcPr>
          <w:p w14:paraId="736EF643" w14:textId="77777777" w:rsidR="00AE7E5D" w:rsidRPr="00AE7E5D" w:rsidRDefault="00AE7E5D" w:rsidP="00AE7E5D">
            <w:pPr>
              <w:jc w:val="center"/>
              <w:rPr>
                <w:rFonts w:ascii="Times New Roman" w:eastAsia="Times New Roman" w:hAnsi="Times New Roman" w:cs="Times New Roman"/>
                <w:b/>
                <w:bCs/>
                <w:kern w:val="0"/>
                <w:lang w:eastAsia="el-GR"/>
                <w14:ligatures w14:val="none"/>
              </w:rPr>
            </w:pPr>
            <w:r w:rsidRPr="00AE7E5D">
              <w:rPr>
                <w:rFonts w:ascii="Times New Roman" w:eastAsia="Times New Roman" w:hAnsi="Times New Roman" w:cs="Times New Roman"/>
                <w:b/>
                <w:bCs/>
                <w:kern w:val="0"/>
                <w:lang w:eastAsia="el-GR"/>
                <w14:ligatures w14:val="none"/>
              </w:rPr>
              <w:t>Ground Truth</w:t>
            </w:r>
          </w:p>
        </w:tc>
      </w:tr>
      <w:tr w:rsidR="00AE7E5D" w:rsidRPr="00AE7E5D" w14:paraId="5EA302C8" w14:textId="77777777">
        <w:trPr>
          <w:tblCellSpacing w:w="15" w:type="dxa"/>
        </w:trPr>
        <w:tc>
          <w:tcPr>
            <w:tcW w:w="0" w:type="auto"/>
            <w:vAlign w:val="center"/>
            <w:hideMark/>
          </w:tcPr>
          <w:p w14:paraId="75ED2BE9"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Initial assessment</w:t>
            </w:r>
          </w:p>
        </w:tc>
        <w:tc>
          <w:tcPr>
            <w:tcW w:w="0" w:type="auto"/>
            <w:vAlign w:val="center"/>
            <w:hideMark/>
          </w:tcPr>
          <w:p w14:paraId="26BA92EB"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Interview patient and obtain focused overdose history.</w:t>
            </w:r>
          </w:p>
        </w:tc>
      </w:tr>
      <w:tr w:rsidR="00AE7E5D" w:rsidRPr="00AE7E5D" w14:paraId="5EF2D18D" w14:textId="77777777">
        <w:trPr>
          <w:tblCellSpacing w:w="15" w:type="dxa"/>
        </w:trPr>
        <w:tc>
          <w:tcPr>
            <w:tcW w:w="0" w:type="auto"/>
            <w:vAlign w:val="center"/>
            <w:hideMark/>
          </w:tcPr>
          <w:p w14:paraId="2EAEA273"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Time of ingestion</w:t>
            </w:r>
          </w:p>
        </w:tc>
        <w:tc>
          <w:tcPr>
            <w:tcW w:w="0" w:type="auto"/>
            <w:vAlign w:val="center"/>
            <w:hideMark/>
          </w:tcPr>
          <w:p w14:paraId="7C9AEFEA"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Confirm ingestion occurred approximately 4 hours ago.</w:t>
            </w:r>
          </w:p>
        </w:tc>
      </w:tr>
      <w:tr w:rsidR="00AE7E5D" w:rsidRPr="00AE7E5D" w14:paraId="5E7DDE2A" w14:textId="77777777">
        <w:trPr>
          <w:tblCellSpacing w:w="15" w:type="dxa"/>
        </w:trPr>
        <w:tc>
          <w:tcPr>
            <w:tcW w:w="0" w:type="auto"/>
            <w:vAlign w:val="center"/>
            <w:hideMark/>
          </w:tcPr>
          <w:p w14:paraId="245DFD7E"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Quantity ingested</w:t>
            </w:r>
          </w:p>
        </w:tc>
        <w:tc>
          <w:tcPr>
            <w:tcW w:w="0" w:type="auto"/>
            <w:vAlign w:val="center"/>
            <w:hideMark/>
          </w:tcPr>
          <w:p w14:paraId="44D29A7F"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Confirm possible ingestion of about 100 tablets of 500 mg acetaminophen.</w:t>
            </w:r>
          </w:p>
        </w:tc>
      </w:tr>
      <w:tr w:rsidR="00AE7E5D" w:rsidRPr="00AE7E5D" w14:paraId="2BD64B10" w14:textId="77777777">
        <w:trPr>
          <w:tblCellSpacing w:w="15" w:type="dxa"/>
        </w:trPr>
        <w:tc>
          <w:tcPr>
            <w:tcW w:w="0" w:type="auto"/>
            <w:vAlign w:val="center"/>
            <w:hideMark/>
          </w:tcPr>
          <w:p w14:paraId="1DC0DDE8"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Estimated dose</w:t>
            </w:r>
          </w:p>
        </w:tc>
        <w:tc>
          <w:tcPr>
            <w:tcW w:w="0" w:type="auto"/>
            <w:vAlign w:val="center"/>
            <w:hideMark/>
          </w:tcPr>
          <w:p w14:paraId="0B0DCF4C"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Possible dose is about 50 g acetaminophen, a very large overdose.</w:t>
            </w:r>
          </w:p>
        </w:tc>
      </w:tr>
      <w:tr w:rsidR="00AE7E5D" w:rsidRPr="00AE7E5D" w14:paraId="5E3FF0AA" w14:textId="77777777">
        <w:trPr>
          <w:tblCellSpacing w:w="15" w:type="dxa"/>
        </w:trPr>
        <w:tc>
          <w:tcPr>
            <w:tcW w:w="0" w:type="auto"/>
            <w:vAlign w:val="center"/>
            <w:hideMark/>
          </w:tcPr>
          <w:p w14:paraId="570A5DFB"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Co-ingestions</w:t>
            </w:r>
          </w:p>
        </w:tc>
        <w:tc>
          <w:tcPr>
            <w:tcW w:w="0" w:type="auto"/>
            <w:vAlign w:val="center"/>
            <w:hideMark/>
          </w:tcPr>
          <w:p w14:paraId="43C456BA"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Ask about alcohol, marijuana, illicit substances, and other co-ingestions.</w:t>
            </w:r>
          </w:p>
        </w:tc>
      </w:tr>
      <w:tr w:rsidR="00AE7E5D" w:rsidRPr="00AE7E5D" w14:paraId="556DE667" w14:textId="77777777">
        <w:trPr>
          <w:tblCellSpacing w:w="15" w:type="dxa"/>
        </w:trPr>
        <w:tc>
          <w:tcPr>
            <w:tcW w:w="0" w:type="auto"/>
            <w:vAlign w:val="center"/>
            <w:hideMark/>
          </w:tcPr>
          <w:p w14:paraId="56009474"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Physical exam</w:t>
            </w:r>
          </w:p>
        </w:tc>
        <w:tc>
          <w:tcPr>
            <w:tcW w:w="0" w:type="auto"/>
            <w:vAlign w:val="center"/>
            <w:hideMark/>
          </w:tcPr>
          <w:p w14:paraId="6F4C1927"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Perform exam focused on toxidrome findings and abdominal/RUQ tenderness.</w:t>
            </w:r>
          </w:p>
        </w:tc>
      </w:tr>
      <w:tr w:rsidR="00AE7E5D" w:rsidRPr="00AE7E5D" w14:paraId="4958F399" w14:textId="77777777">
        <w:trPr>
          <w:tblCellSpacing w:w="15" w:type="dxa"/>
        </w:trPr>
        <w:tc>
          <w:tcPr>
            <w:tcW w:w="0" w:type="auto"/>
            <w:vAlign w:val="center"/>
            <w:hideMark/>
          </w:tcPr>
          <w:p w14:paraId="742CD335"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Monitoring</w:t>
            </w:r>
          </w:p>
        </w:tc>
        <w:tc>
          <w:tcPr>
            <w:tcW w:w="0" w:type="auto"/>
            <w:vAlign w:val="center"/>
            <w:hideMark/>
          </w:tcPr>
          <w:p w14:paraId="76AF97A1"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Place patient on monitor and obtain vital signs.</w:t>
            </w:r>
          </w:p>
        </w:tc>
      </w:tr>
      <w:tr w:rsidR="00AE7E5D" w:rsidRPr="00AE7E5D" w14:paraId="1284020D" w14:textId="77777777">
        <w:trPr>
          <w:tblCellSpacing w:w="15" w:type="dxa"/>
        </w:trPr>
        <w:tc>
          <w:tcPr>
            <w:tcW w:w="0" w:type="auto"/>
            <w:vAlign w:val="center"/>
            <w:hideMark/>
          </w:tcPr>
          <w:p w14:paraId="74861503"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IV access</w:t>
            </w:r>
          </w:p>
        </w:tc>
        <w:tc>
          <w:tcPr>
            <w:tcW w:w="0" w:type="auto"/>
            <w:vAlign w:val="center"/>
            <w:hideMark/>
          </w:tcPr>
          <w:p w14:paraId="56E10B86"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Establish IV access, despite patient reluctance.</w:t>
            </w:r>
          </w:p>
        </w:tc>
      </w:tr>
      <w:tr w:rsidR="00AE7E5D" w:rsidRPr="00AE7E5D" w14:paraId="4C9D9ED5" w14:textId="77777777">
        <w:trPr>
          <w:tblCellSpacing w:w="15" w:type="dxa"/>
        </w:trPr>
        <w:tc>
          <w:tcPr>
            <w:tcW w:w="0" w:type="auto"/>
            <w:vAlign w:val="center"/>
            <w:hideMark/>
          </w:tcPr>
          <w:p w14:paraId="6D4F758D"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ECG</w:t>
            </w:r>
          </w:p>
        </w:tc>
        <w:tc>
          <w:tcPr>
            <w:tcW w:w="0" w:type="auto"/>
            <w:vAlign w:val="center"/>
            <w:hideMark/>
          </w:tcPr>
          <w:p w14:paraId="1C5D9158"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Order ECG.</w:t>
            </w:r>
          </w:p>
        </w:tc>
      </w:tr>
      <w:tr w:rsidR="00AE7E5D" w:rsidRPr="00AE7E5D" w14:paraId="4D4C44C2" w14:textId="77777777">
        <w:trPr>
          <w:tblCellSpacing w:w="15" w:type="dxa"/>
        </w:trPr>
        <w:tc>
          <w:tcPr>
            <w:tcW w:w="0" w:type="auto"/>
            <w:vAlign w:val="center"/>
            <w:hideMark/>
          </w:tcPr>
          <w:p w14:paraId="55E31E41"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Bloodwork</w:t>
            </w:r>
          </w:p>
        </w:tc>
        <w:tc>
          <w:tcPr>
            <w:tcW w:w="0" w:type="auto"/>
            <w:vAlign w:val="center"/>
            <w:hideMark/>
          </w:tcPr>
          <w:p w14:paraId="050C8B65"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Order bloodwork including acetaminophen serum level.</w:t>
            </w:r>
          </w:p>
        </w:tc>
      </w:tr>
      <w:tr w:rsidR="00AE7E5D" w:rsidRPr="00AE7E5D" w14:paraId="5F5CE109" w14:textId="77777777">
        <w:trPr>
          <w:tblCellSpacing w:w="15" w:type="dxa"/>
        </w:trPr>
        <w:tc>
          <w:tcPr>
            <w:tcW w:w="0" w:type="auto"/>
            <w:vAlign w:val="center"/>
            <w:hideMark/>
          </w:tcPr>
          <w:p w14:paraId="01F6A09F"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Additional labs</w:t>
            </w:r>
          </w:p>
        </w:tc>
        <w:tc>
          <w:tcPr>
            <w:tcW w:w="0" w:type="auto"/>
            <w:vAlign w:val="center"/>
            <w:hideMark/>
          </w:tcPr>
          <w:p w14:paraId="6D7C9494"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Include CBC, electrolytes, renal function, liver enzymes, INR/coags, VBG/lactate, glucose, ethanol, ASA, and other tox labs as appropriate.</w:t>
            </w:r>
          </w:p>
        </w:tc>
      </w:tr>
      <w:tr w:rsidR="00AE7E5D" w:rsidRPr="00AE7E5D" w14:paraId="3481E40E" w14:textId="77777777">
        <w:trPr>
          <w:tblCellSpacing w:w="15" w:type="dxa"/>
        </w:trPr>
        <w:tc>
          <w:tcPr>
            <w:tcW w:w="0" w:type="auto"/>
            <w:vAlign w:val="center"/>
            <w:hideMark/>
          </w:tcPr>
          <w:p w14:paraId="0931FD00"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Lab finding</w:t>
            </w:r>
          </w:p>
        </w:tc>
        <w:tc>
          <w:tcPr>
            <w:tcW w:w="0" w:type="auto"/>
            <w:vAlign w:val="center"/>
            <w:hideMark/>
          </w:tcPr>
          <w:p w14:paraId="5DC39D99"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 xml:space="preserve">Acetaminophen level is </w:t>
            </w:r>
            <w:r w:rsidRPr="00AE7E5D">
              <w:rPr>
                <w:rFonts w:ascii="Times New Roman" w:eastAsia="Times New Roman" w:hAnsi="Times New Roman" w:cs="Times New Roman"/>
                <w:b/>
                <w:bCs/>
                <w:kern w:val="0"/>
                <w:lang w:eastAsia="el-GR"/>
                <w14:ligatures w14:val="none"/>
              </w:rPr>
              <w:t>567 µg/mL</w:t>
            </w:r>
            <w:r w:rsidRPr="00AE7E5D">
              <w:rPr>
                <w:rFonts w:ascii="Times New Roman" w:eastAsia="Times New Roman" w:hAnsi="Times New Roman" w:cs="Times New Roman"/>
                <w:kern w:val="0"/>
                <w:lang w:eastAsia="el-GR"/>
                <w14:ligatures w14:val="none"/>
              </w:rPr>
              <w:t>.</w:t>
            </w:r>
          </w:p>
        </w:tc>
      </w:tr>
      <w:tr w:rsidR="00AE7E5D" w:rsidRPr="00AE7E5D" w14:paraId="00A8C2EA" w14:textId="77777777">
        <w:trPr>
          <w:tblCellSpacing w:w="15" w:type="dxa"/>
        </w:trPr>
        <w:tc>
          <w:tcPr>
            <w:tcW w:w="0" w:type="auto"/>
            <w:vAlign w:val="center"/>
            <w:hideMark/>
          </w:tcPr>
          <w:p w14:paraId="7616AF05"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Liver findings</w:t>
            </w:r>
          </w:p>
        </w:tc>
        <w:tc>
          <w:tcPr>
            <w:tcW w:w="0" w:type="auto"/>
            <w:vAlign w:val="center"/>
            <w:hideMark/>
          </w:tcPr>
          <w:p w14:paraId="5F454D06"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AST is mildly elevated at 42; ALT is 23; INR is 1.0.</w:t>
            </w:r>
          </w:p>
        </w:tc>
      </w:tr>
      <w:tr w:rsidR="00AE7E5D" w:rsidRPr="00AE7E5D" w14:paraId="187D26EE" w14:textId="77777777">
        <w:trPr>
          <w:tblCellSpacing w:w="15" w:type="dxa"/>
        </w:trPr>
        <w:tc>
          <w:tcPr>
            <w:tcW w:w="0" w:type="auto"/>
            <w:vAlign w:val="center"/>
            <w:hideMark/>
          </w:tcPr>
          <w:p w14:paraId="654A356A"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Nomogram use</w:t>
            </w:r>
          </w:p>
        </w:tc>
        <w:tc>
          <w:tcPr>
            <w:tcW w:w="0" w:type="auto"/>
            <w:vAlign w:val="center"/>
            <w:hideMark/>
          </w:tcPr>
          <w:p w14:paraId="6AF01C5E"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Refer to the modified Rumack–Matthew nomogram.</w:t>
            </w:r>
          </w:p>
        </w:tc>
      </w:tr>
      <w:tr w:rsidR="00AE7E5D" w:rsidRPr="00AE7E5D" w14:paraId="4BCF9709" w14:textId="77777777">
        <w:trPr>
          <w:tblCellSpacing w:w="15" w:type="dxa"/>
        </w:trPr>
        <w:tc>
          <w:tcPr>
            <w:tcW w:w="0" w:type="auto"/>
            <w:vAlign w:val="center"/>
            <w:hideMark/>
          </w:tcPr>
          <w:p w14:paraId="144B37C7"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Toxicology support</w:t>
            </w:r>
          </w:p>
        </w:tc>
        <w:tc>
          <w:tcPr>
            <w:tcW w:w="0" w:type="auto"/>
            <w:vAlign w:val="center"/>
            <w:hideMark/>
          </w:tcPr>
          <w:p w14:paraId="24A7936E"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Consider calling Poison Centre / Medical Toxicology.</w:t>
            </w:r>
          </w:p>
        </w:tc>
      </w:tr>
      <w:tr w:rsidR="00AE7E5D" w:rsidRPr="00AE7E5D" w14:paraId="57752D7C" w14:textId="77777777">
        <w:trPr>
          <w:tblCellSpacing w:w="15" w:type="dxa"/>
        </w:trPr>
        <w:tc>
          <w:tcPr>
            <w:tcW w:w="0" w:type="auto"/>
            <w:vAlign w:val="center"/>
            <w:hideMark/>
          </w:tcPr>
          <w:p w14:paraId="75E21752"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Treatment decision</w:t>
            </w:r>
          </w:p>
        </w:tc>
        <w:tc>
          <w:tcPr>
            <w:tcW w:w="0" w:type="auto"/>
            <w:vAlign w:val="center"/>
            <w:hideMark/>
          </w:tcPr>
          <w:p w14:paraId="7DA5A9EF"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Start NAC because the acetaminophen level is toxic.</w:t>
            </w:r>
          </w:p>
        </w:tc>
      </w:tr>
      <w:tr w:rsidR="00AE7E5D" w:rsidRPr="00AE7E5D" w14:paraId="6FBC7482" w14:textId="77777777">
        <w:trPr>
          <w:tblCellSpacing w:w="15" w:type="dxa"/>
        </w:trPr>
        <w:tc>
          <w:tcPr>
            <w:tcW w:w="0" w:type="auto"/>
            <w:vAlign w:val="center"/>
            <w:hideMark/>
          </w:tcPr>
          <w:p w14:paraId="455ECB08"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Route</w:t>
            </w:r>
          </w:p>
        </w:tc>
        <w:tc>
          <w:tcPr>
            <w:tcW w:w="0" w:type="auto"/>
            <w:vAlign w:val="center"/>
            <w:hideMark/>
          </w:tcPr>
          <w:p w14:paraId="609FDBB4"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 xml:space="preserve">NAC may be IV or PO, but scenario expects </w:t>
            </w:r>
            <w:r w:rsidRPr="00AE7E5D">
              <w:rPr>
                <w:rFonts w:ascii="Times New Roman" w:eastAsia="Times New Roman" w:hAnsi="Times New Roman" w:cs="Times New Roman"/>
                <w:b/>
                <w:bCs/>
                <w:kern w:val="0"/>
                <w:lang w:eastAsia="el-GR"/>
                <w14:ligatures w14:val="none"/>
              </w:rPr>
              <w:t>NAC IV</w:t>
            </w:r>
            <w:r w:rsidRPr="00AE7E5D">
              <w:rPr>
                <w:rFonts w:ascii="Times New Roman" w:eastAsia="Times New Roman" w:hAnsi="Times New Roman" w:cs="Times New Roman"/>
                <w:kern w:val="0"/>
                <w:lang w:eastAsia="el-GR"/>
                <w14:ligatures w14:val="none"/>
              </w:rPr>
              <w:t>.</w:t>
            </w:r>
          </w:p>
        </w:tc>
      </w:tr>
      <w:tr w:rsidR="00AE7E5D" w:rsidRPr="00AE7E5D" w14:paraId="10F6B03B" w14:textId="77777777">
        <w:trPr>
          <w:tblCellSpacing w:w="15" w:type="dxa"/>
        </w:trPr>
        <w:tc>
          <w:tcPr>
            <w:tcW w:w="0" w:type="auto"/>
            <w:vAlign w:val="center"/>
            <w:hideMark/>
          </w:tcPr>
          <w:p w14:paraId="2BCEA38D"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Patient refusal</w:t>
            </w:r>
          </w:p>
        </w:tc>
        <w:tc>
          <w:tcPr>
            <w:tcW w:w="0" w:type="auto"/>
            <w:vAlign w:val="center"/>
            <w:hideMark/>
          </w:tcPr>
          <w:p w14:paraId="31652985"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Patient initially refuses NAC and says he does not want treatment.</w:t>
            </w:r>
          </w:p>
        </w:tc>
      </w:tr>
      <w:tr w:rsidR="00AE7E5D" w:rsidRPr="00AE7E5D" w14:paraId="0176B5B3" w14:textId="77777777">
        <w:trPr>
          <w:tblCellSpacing w:w="15" w:type="dxa"/>
        </w:trPr>
        <w:tc>
          <w:tcPr>
            <w:tcW w:w="0" w:type="auto"/>
            <w:vAlign w:val="center"/>
            <w:hideMark/>
          </w:tcPr>
          <w:p w14:paraId="62D383E6"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lastRenderedPageBreak/>
              <w:t>Communication</w:t>
            </w:r>
          </w:p>
        </w:tc>
        <w:tc>
          <w:tcPr>
            <w:tcW w:w="0" w:type="auto"/>
            <w:vAlign w:val="center"/>
            <w:hideMark/>
          </w:tcPr>
          <w:p w14:paraId="6777FECC"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Physician should verbally de-escalate and persuade patient to accept treatment.</w:t>
            </w:r>
          </w:p>
        </w:tc>
      </w:tr>
      <w:tr w:rsidR="00AE7E5D" w:rsidRPr="00AE7E5D" w14:paraId="4CB542F3" w14:textId="77777777">
        <w:trPr>
          <w:tblCellSpacing w:w="15" w:type="dxa"/>
        </w:trPr>
        <w:tc>
          <w:tcPr>
            <w:tcW w:w="0" w:type="auto"/>
            <w:vAlign w:val="center"/>
            <w:hideMark/>
          </w:tcPr>
          <w:p w14:paraId="4225427C"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Safety risk</w:t>
            </w:r>
          </w:p>
        </w:tc>
        <w:tc>
          <w:tcPr>
            <w:tcW w:w="0" w:type="auto"/>
            <w:vAlign w:val="center"/>
            <w:hideMark/>
          </w:tcPr>
          <w:p w14:paraId="2A745A34"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Recognize intentional overdose and suicidal statements as a mental health emergency.</w:t>
            </w:r>
          </w:p>
        </w:tc>
      </w:tr>
      <w:tr w:rsidR="00AE7E5D" w:rsidRPr="00AE7E5D" w14:paraId="5AE84FB9" w14:textId="77777777">
        <w:trPr>
          <w:tblCellSpacing w:w="15" w:type="dxa"/>
        </w:trPr>
        <w:tc>
          <w:tcPr>
            <w:tcW w:w="0" w:type="auto"/>
            <w:vAlign w:val="center"/>
            <w:hideMark/>
          </w:tcPr>
          <w:p w14:paraId="60D637BF"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Capacity/safety issue</w:t>
            </w:r>
          </w:p>
        </w:tc>
        <w:tc>
          <w:tcPr>
            <w:tcW w:w="0" w:type="auto"/>
            <w:vAlign w:val="center"/>
            <w:hideMark/>
          </w:tcPr>
          <w:p w14:paraId="15258191"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Patient should not be allowed to leave untreated after a deliberate potentially lethal overdose.</w:t>
            </w:r>
          </w:p>
        </w:tc>
      </w:tr>
      <w:tr w:rsidR="00AE7E5D" w:rsidRPr="00AE7E5D" w14:paraId="25C147BC" w14:textId="77777777">
        <w:trPr>
          <w:tblCellSpacing w:w="15" w:type="dxa"/>
        </w:trPr>
        <w:tc>
          <w:tcPr>
            <w:tcW w:w="0" w:type="auto"/>
            <w:vAlign w:val="center"/>
            <w:hideMark/>
          </w:tcPr>
          <w:p w14:paraId="1D4740F4"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Involuntary admission</w:t>
            </w:r>
          </w:p>
        </w:tc>
        <w:tc>
          <w:tcPr>
            <w:tcW w:w="0" w:type="auto"/>
            <w:vAlign w:val="center"/>
            <w:hideMark/>
          </w:tcPr>
          <w:p w14:paraId="519394D3"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Complete the required form for involuntary psychiatric hold.</w:t>
            </w:r>
          </w:p>
        </w:tc>
      </w:tr>
      <w:tr w:rsidR="00AE7E5D" w:rsidRPr="00AE7E5D" w14:paraId="3CC6D87B" w14:textId="77777777">
        <w:trPr>
          <w:tblCellSpacing w:w="15" w:type="dxa"/>
        </w:trPr>
        <w:tc>
          <w:tcPr>
            <w:tcW w:w="0" w:type="auto"/>
            <w:vAlign w:val="center"/>
            <w:hideMark/>
          </w:tcPr>
          <w:p w14:paraId="02E9AC0D"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In this scenario</w:t>
            </w:r>
          </w:p>
        </w:tc>
        <w:tc>
          <w:tcPr>
            <w:tcW w:w="0" w:type="auto"/>
            <w:vAlign w:val="center"/>
            <w:hideMark/>
          </w:tcPr>
          <w:p w14:paraId="597A1D67"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 xml:space="preserve">Complete </w:t>
            </w:r>
            <w:r w:rsidRPr="00AE7E5D">
              <w:rPr>
                <w:rFonts w:ascii="Times New Roman" w:eastAsia="Times New Roman" w:hAnsi="Times New Roman" w:cs="Times New Roman"/>
                <w:b/>
                <w:bCs/>
                <w:kern w:val="0"/>
                <w:lang w:eastAsia="el-GR"/>
                <w14:ligatures w14:val="none"/>
              </w:rPr>
              <w:t>Form 4</w:t>
            </w:r>
            <w:r w:rsidRPr="00AE7E5D">
              <w:rPr>
                <w:rFonts w:ascii="Times New Roman" w:eastAsia="Times New Roman" w:hAnsi="Times New Roman" w:cs="Times New Roman"/>
                <w:kern w:val="0"/>
                <w:lang w:eastAsia="el-GR"/>
                <w14:ligatures w14:val="none"/>
              </w:rPr>
              <w:t xml:space="preserve"> and inform the patient.</w:t>
            </w:r>
          </w:p>
        </w:tc>
      </w:tr>
      <w:tr w:rsidR="00AE7E5D" w:rsidRPr="00AE7E5D" w14:paraId="0EE7E428" w14:textId="77777777">
        <w:trPr>
          <w:tblCellSpacing w:w="15" w:type="dxa"/>
        </w:trPr>
        <w:tc>
          <w:tcPr>
            <w:tcW w:w="0" w:type="auto"/>
            <w:vAlign w:val="center"/>
            <w:hideMark/>
          </w:tcPr>
          <w:p w14:paraId="336BABEB"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If patient escalates</w:t>
            </w:r>
          </w:p>
        </w:tc>
        <w:tc>
          <w:tcPr>
            <w:tcW w:w="0" w:type="auto"/>
            <w:vAlign w:val="center"/>
            <w:hideMark/>
          </w:tcPr>
          <w:p w14:paraId="44AF29EB"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Anticipate hostile behavior; maintain staff and patient safety.</w:t>
            </w:r>
          </w:p>
        </w:tc>
      </w:tr>
      <w:tr w:rsidR="00AE7E5D" w:rsidRPr="00AE7E5D" w14:paraId="34B9B9CA" w14:textId="77777777">
        <w:trPr>
          <w:tblCellSpacing w:w="15" w:type="dxa"/>
        </w:trPr>
        <w:tc>
          <w:tcPr>
            <w:tcW w:w="0" w:type="auto"/>
            <w:vAlign w:val="center"/>
            <w:hideMark/>
          </w:tcPr>
          <w:p w14:paraId="71288674"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IV threat</w:t>
            </w:r>
          </w:p>
        </w:tc>
        <w:tc>
          <w:tcPr>
            <w:tcW w:w="0" w:type="auto"/>
            <w:vAlign w:val="center"/>
            <w:hideMark/>
          </w:tcPr>
          <w:p w14:paraId="3ABB0BA0"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Patient may threaten to pull out the IV.</w:t>
            </w:r>
          </w:p>
        </w:tc>
      </w:tr>
      <w:tr w:rsidR="00AE7E5D" w:rsidRPr="00AE7E5D" w14:paraId="2C0B0E4C" w14:textId="77777777">
        <w:trPr>
          <w:tblCellSpacing w:w="15" w:type="dxa"/>
        </w:trPr>
        <w:tc>
          <w:tcPr>
            <w:tcW w:w="0" w:type="auto"/>
            <w:vAlign w:val="center"/>
            <w:hideMark/>
          </w:tcPr>
          <w:p w14:paraId="54194ADB"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Ongoing medical care</w:t>
            </w:r>
          </w:p>
        </w:tc>
        <w:tc>
          <w:tcPr>
            <w:tcW w:w="0" w:type="auto"/>
            <w:vAlign w:val="center"/>
            <w:hideMark/>
          </w:tcPr>
          <w:p w14:paraId="6959908B"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Continue NAC protocol.</w:t>
            </w:r>
          </w:p>
        </w:tc>
      </w:tr>
      <w:tr w:rsidR="00AE7E5D" w:rsidRPr="00AE7E5D" w14:paraId="30781E78" w14:textId="77777777">
        <w:trPr>
          <w:tblCellSpacing w:w="15" w:type="dxa"/>
        </w:trPr>
        <w:tc>
          <w:tcPr>
            <w:tcW w:w="0" w:type="auto"/>
            <w:vAlign w:val="center"/>
            <w:hideMark/>
          </w:tcPr>
          <w:p w14:paraId="3F303F5E"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Disposition</w:t>
            </w:r>
          </w:p>
        </w:tc>
        <w:tc>
          <w:tcPr>
            <w:tcW w:w="0" w:type="auto"/>
            <w:vAlign w:val="center"/>
            <w:hideMark/>
          </w:tcPr>
          <w:p w14:paraId="38FBD71C" w14:textId="77777777" w:rsidR="00AE7E5D" w:rsidRPr="00AE7E5D" w:rsidRDefault="00AE7E5D" w:rsidP="00AE7E5D">
            <w:pPr>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Admit to internal medicine with psychiatric consult.</w:t>
            </w:r>
          </w:p>
        </w:tc>
      </w:tr>
    </w:tbl>
    <w:p w14:paraId="0B35BE82" w14:textId="77777777" w:rsidR="00AE7E5D" w:rsidRPr="00AE7E5D" w:rsidRDefault="00AE7E5D" w:rsidP="00AE7E5D">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AE7E5D">
        <w:rPr>
          <w:rFonts w:ascii="Times New Roman" w:eastAsia="Times New Roman" w:hAnsi="Times New Roman" w:cs="Times New Roman"/>
          <w:b/>
          <w:bCs/>
          <w:kern w:val="0"/>
          <w:sz w:val="36"/>
          <w:szCs w:val="36"/>
          <w:lang w:eastAsia="el-GR"/>
          <w14:ligatures w14:val="none"/>
        </w:rPr>
        <w:t>Correct Final Answer / Expected Clinical Decision</w:t>
      </w:r>
    </w:p>
    <w:p w14:paraId="27DA3DB2" w14:textId="77777777" w:rsidR="00AE7E5D" w:rsidRPr="00AE7E5D" w:rsidRDefault="00AE7E5D" w:rsidP="00AE7E5D">
      <w:pPr>
        <w:spacing w:before="100" w:beforeAutospacing="1" w:after="100" w:afterAutospacing="1"/>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The correct decision is:</w:t>
      </w:r>
    </w:p>
    <w:p w14:paraId="7A7D9F8A" w14:textId="77777777" w:rsidR="00AE7E5D" w:rsidRPr="00AE7E5D" w:rsidRDefault="00AE7E5D" w:rsidP="00AE7E5D">
      <w:pPr>
        <w:spacing w:before="100" w:beforeAutospacing="1" w:after="100" w:afterAutospacing="1"/>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b/>
          <w:bCs/>
          <w:kern w:val="0"/>
          <w:lang w:eastAsia="el-GR"/>
          <w14:ligatures w14:val="none"/>
        </w:rPr>
        <w:t>Do not allow the patient to leave. This is an intentional, potentially lethal acetaminophen overdose with a toxic serum acetaminophen level. The team should confirm ingestion details, assess for co-ingestions, order ECG and toxicology bloodwork, interpret the acetaminophen level using the Rumack–Matthew nomogram, contact Poison Centre or Medical Toxicology if needed, and start IV NAC. Because the patient is suicidal, refusing care, and attempting to leave, the team should use verbal de-escalation, complete the involuntary psychiatric hold paperwork, continue NAC, and admit him medically with psychiatry consultation.</w:t>
      </w:r>
    </w:p>
    <w:p w14:paraId="405E7515" w14:textId="77777777" w:rsidR="00AE7E5D" w:rsidRPr="00AE7E5D" w:rsidRDefault="00AE7E5D" w:rsidP="00AE7E5D">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AE7E5D">
        <w:rPr>
          <w:rFonts w:ascii="Times New Roman" w:eastAsia="Times New Roman" w:hAnsi="Times New Roman" w:cs="Times New Roman"/>
          <w:b/>
          <w:bCs/>
          <w:kern w:val="0"/>
          <w:sz w:val="36"/>
          <w:szCs w:val="36"/>
          <w:lang w:eastAsia="el-GR"/>
          <w14:ligatures w14:val="none"/>
        </w:rPr>
        <w:t>Key Ground Truth Outcome</w:t>
      </w:r>
    </w:p>
    <w:p w14:paraId="02BE7B87" w14:textId="77777777" w:rsidR="00AE7E5D" w:rsidRPr="00AE7E5D" w:rsidRDefault="00AE7E5D" w:rsidP="00AE7E5D">
      <w:pPr>
        <w:spacing w:before="100" w:beforeAutospacing="1" w:after="100" w:afterAutospacing="1"/>
        <w:rPr>
          <w:rFonts w:ascii="Times New Roman" w:eastAsia="Times New Roman" w:hAnsi="Times New Roman" w:cs="Times New Roman"/>
          <w:kern w:val="0"/>
          <w:lang w:eastAsia="el-GR"/>
          <w14:ligatures w14:val="none"/>
        </w:rPr>
      </w:pPr>
      <w:r w:rsidRPr="00AE7E5D">
        <w:rPr>
          <w:rFonts w:ascii="Times New Roman" w:eastAsia="Times New Roman" w:hAnsi="Times New Roman" w:cs="Times New Roman"/>
          <w:kern w:val="0"/>
          <w:lang w:eastAsia="el-GR"/>
          <w14:ligatures w14:val="none"/>
        </w:rPr>
        <w:t xml:space="preserve">The expected endpoint is that the team identifies </w:t>
      </w:r>
      <w:r w:rsidRPr="00AE7E5D">
        <w:rPr>
          <w:rFonts w:ascii="Times New Roman" w:eastAsia="Times New Roman" w:hAnsi="Times New Roman" w:cs="Times New Roman"/>
          <w:b/>
          <w:bCs/>
          <w:kern w:val="0"/>
          <w:lang w:eastAsia="el-GR"/>
          <w14:ligatures w14:val="none"/>
        </w:rPr>
        <w:t>intentional acetaminophen overdose</w:t>
      </w:r>
      <w:r w:rsidRPr="00AE7E5D">
        <w:rPr>
          <w:rFonts w:ascii="Times New Roman" w:eastAsia="Times New Roman" w:hAnsi="Times New Roman" w:cs="Times New Roman"/>
          <w:kern w:val="0"/>
          <w:lang w:eastAsia="el-GR"/>
          <w14:ligatures w14:val="none"/>
        </w:rPr>
        <w:t xml:space="preserve">, recognizes the acetaminophen level of </w:t>
      </w:r>
      <w:r w:rsidRPr="00AE7E5D">
        <w:rPr>
          <w:rFonts w:ascii="Times New Roman" w:eastAsia="Times New Roman" w:hAnsi="Times New Roman" w:cs="Times New Roman"/>
          <w:b/>
          <w:bCs/>
          <w:kern w:val="0"/>
          <w:lang w:eastAsia="el-GR"/>
          <w14:ligatures w14:val="none"/>
        </w:rPr>
        <w:t>567 µg/mL</w:t>
      </w:r>
      <w:r w:rsidRPr="00AE7E5D">
        <w:rPr>
          <w:rFonts w:ascii="Times New Roman" w:eastAsia="Times New Roman" w:hAnsi="Times New Roman" w:cs="Times New Roman"/>
          <w:kern w:val="0"/>
          <w:lang w:eastAsia="el-GR"/>
          <w14:ligatures w14:val="none"/>
        </w:rPr>
        <w:t xml:space="preserve"> as requiring treatment, starts </w:t>
      </w:r>
      <w:r w:rsidRPr="00AE7E5D">
        <w:rPr>
          <w:rFonts w:ascii="Times New Roman" w:eastAsia="Times New Roman" w:hAnsi="Times New Roman" w:cs="Times New Roman"/>
          <w:b/>
          <w:bCs/>
          <w:kern w:val="0"/>
          <w:lang w:eastAsia="el-GR"/>
          <w14:ligatures w14:val="none"/>
        </w:rPr>
        <w:t>IV NAC</w:t>
      </w:r>
      <w:r w:rsidRPr="00AE7E5D">
        <w:rPr>
          <w:rFonts w:ascii="Times New Roman" w:eastAsia="Times New Roman" w:hAnsi="Times New Roman" w:cs="Times New Roman"/>
          <w:kern w:val="0"/>
          <w:lang w:eastAsia="el-GR"/>
          <w14:ligatures w14:val="none"/>
        </w:rPr>
        <w:t xml:space="preserve">, verbally de-escalates the patient, completes </w:t>
      </w:r>
      <w:r w:rsidRPr="00AE7E5D">
        <w:rPr>
          <w:rFonts w:ascii="Times New Roman" w:eastAsia="Times New Roman" w:hAnsi="Times New Roman" w:cs="Times New Roman"/>
          <w:b/>
          <w:bCs/>
          <w:kern w:val="0"/>
          <w:lang w:eastAsia="el-GR"/>
          <w14:ligatures w14:val="none"/>
        </w:rPr>
        <w:t>Form 4</w:t>
      </w:r>
      <w:r w:rsidRPr="00AE7E5D">
        <w:rPr>
          <w:rFonts w:ascii="Times New Roman" w:eastAsia="Times New Roman" w:hAnsi="Times New Roman" w:cs="Times New Roman"/>
          <w:kern w:val="0"/>
          <w:lang w:eastAsia="el-GR"/>
          <w14:ligatures w14:val="none"/>
        </w:rPr>
        <w:t xml:space="preserve"> for involuntary psychiatric hold, and admits the patient to </w:t>
      </w:r>
      <w:r w:rsidRPr="00AE7E5D">
        <w:rPr>
          <w:rFonts w:ascii="Times New Roman" w:eastAsia="Times New Roman" w:hAnsi="Times New Roman" w:cs="Times New Roman"/>
          <w:b/>
          <w:bCs/>
          <w:kern w:val="0"/>
          <w:lang w:eastAsia="el-GR"/>
          <w14:ligatures w14:val="none"/>
        </w:rPr>
        <w:t>internal medicine with psychiatric consultation</w:t>
      </w:r>
      <w:r w:rsidRPr="00AE7E5D">
        <w:rPr>
          <w:rFonts w:ascii="Times New Roman" w:eastAsia="Times New Roman" w:hAnsi="Times New Roman" w:cs="Times New Roman"/>
          <w:kern w:val="0"/>
          <w:lang w:eastAsia="el-GR"/>
          <w14:ligatures w14:val="none"/>
        </w:rPr>
        <w:t>.</w:t>
      </w:r>
    </w:p>
    <w:p w14:paraId="08309FB2"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E5D"/>
    <w:rsid w:val="000F1CC1"/>
    <w:rsid w:val="0056380E"/>
    <w:rsid w:val="007500F4"/>
    <w:rsid w:val="00750518"/>
    <w:rsid w:val="00826995"/>
    <w:rsid w:val="00915017"/>
    <w:rsid w:val="00A33099"/>
    <w:rsid w:val="00AE7E5D"/>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31112399"/>
  <w15:chartTrackingRefBased/>
  <w15:docId w15:val="{19FC8035-93E6-E646-A520-6C1E941C0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AE7E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AE7E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AE7E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AE7E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AE7E5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E7E5D"/>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E7E5D"/>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E7E5D"/>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AE7E5D"/>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AE7E5D"/>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AE7E5D"/>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AE7E5D"/>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AE7E5D"/>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AE7E5D"/>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AE7E5D"/>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AE7E5D"/>
    <w:rPr>
      <w:rFonts w:eastAsiaTheme="majorEastAsia" w:cstheme="majorBidi"/>
      <w:color w:val="272727" w:themeColor="text1" w:themeTint="D8"/>
    </w:rPr>
  </w:style>
  <w:style w:type="paragraph" w:styleId="a3">
    <w:name w:val="Title"/>
    <w:basedOn w:val="a"/>
    <w:next w:val="a"/>
    <w:link w:val="Char"/>
    <w:uiPriority w:val="10"/>
    <w:qFormat/>
    <w:rsid w:val="00AE7E5D"/>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AE7E5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E7E5D"/>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AE7E5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E7E5D"/>
    <w:pPr>
      <w:spacing w:before="160" w:after="160"/>
      <w:jc w:val="center"/>
    </w:pPr>
    <w:rPr>
      <w:i/>
      <w:iCs/>
      <w:color w:val="404040" w:themeColor="text1" w:themeTint="BF"/>
    </w:rPr>
  </w:style>
  <w:style w:type="character" w:customStyle="1" w:styleId="Char1">
    <w:name w:val="Απόσπασμα Char"/>
    <w:basedOn w:val="a0"/>
    <w:link w:val="a5"/>
    <w:uiPriority w:val="29"/>
    <w:rsid w:val="00AE7E5D"/>
    <w:rPr>
      <w:i/>
      <w:iCs/>
      <w:color w:val="404040" w:themeColor="text1" w:themeTint="BF"/>
    </w:rPr>
  </w:style>
  <w:style w:type="paragraph" w:styleId="a6">
    <w:name w:val="List Paragraph"/>
    <w:basedOn w:val="a"/>
    <w:uiPriority w:val="34"/>
    <w:qFormat/>
    <w:rsid w:val="00AE7E5D"/>
    <w:pPr>
      <w:ind w:left="720"/>
      <w:contextualSpacing/>
    </w:pPr>
  </w:style>
  <w:style w:type="character" w:styleId="a7">
    <w:name w:val="Intense Emphasis"/>
    <w:basedOn w:val="a0"/>
    <w:uiPriority w:val="21"/>
    <w:qFormat/>
    <w:rsid w:val="00AE7E5D"/>
    <w:rPr>
      <w:i/>
      <w:iCs/>
      <w:color w:val="0F4761" w:themeColor="accent1" w:themeShade="BF"/>
    </w:rPr>
  </w:style>
  <w:style w:type="paragraph" w:styleId="a8">
    <w:name w:val="Intense Quote"/>
    <w:basedOn w:val="a"/>
    <w:next w:val="a"/>
    <w:link w:val="Char2"/>
    <w:uiPriority w:val="30"/>
    <w:qFormat/>
    <w:rsid w:val="00AE7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AE7E5D"/>
    <w:rPr>
      <w:i/>
      <w:iCs/>
      <w:color w:val="0F4761" w:themeColor="accent1" w:themeShade="BF"/>
    </w:rPr>
  </w:style>
  <w:style w:type="character" w:styleId="a9">
    <w:name w:val="Intense Reference"/>
    <w:basedOn w:val="a0"/>
    <w:uiPriority w:val="32"/>
    <w:qFormat/>
    <w:rsid w:val="00AE7E5D"/>
    <w:rPr>
      <w:b/>
      <w:bCs/>
      <w:smallCaps/>
      <w:color w:val="0F4761" w:themeColor="accent1" w:themeShade="BF"/>
      <w:spacing w:val="5"/>
    </w:rPr>
  </w:style>
  <w:style w:type="paragraph" w:styleId="Web">
    <w:name w:val="Normal (Web)"/>
    <w:basedOn w:val="a"/>
    <w:uiPriority w:val="99"/>
    <w:semiHidden/>
    <w:unhideWhenUsed/>
    <w:rsid w:val="00AE7E5D"/>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AE7E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600</Words>
  <Characters>3233</Characters>
  <Application>Microsoft Office Word</Application>
  <DocSecurity>0</DocSecurity>
  <Lines>55</Lines>
  <Paragraphs>22</Paragraphs>
  <ScaleCrop>false</ScaleCrop>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2026-06-13T14:57:00Z</dcterms:created>
  <dcterms:modified xsi:type="dcterms:W3CDTF">2026-06-13T14:57:00Z</dcterms:modified>
</cp:coreProperties>
</file>