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5C0A" w14:textId="77777777" w:rsidR="00586C1E" w:rsidRPr="00586C1E" w:rsidRDefault="00586C1E" w:rsidP="00586C1E">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586C1E">
        <w:rPr>
          <w:rFonts w:ascii="Times New Roman" w:eastAsia="Times New Roman" w:hAnsi="Times New Roman" w:cs="Times New Roman"/>
          <w:b/>
          <w:bCs/>
          <w:kern w:val="0"/>
          <w:sz w:val="27"/>
          <w:szCs w:val="27"/>
          <w:lang w:eastAsia="el-GR"/>
          <w14:ligatures w14:val="none"/>
        </w:rPr>
        <w:t>Read of the situation</w:t>
      </w:r>
    </w:p>
    <w:p w14:paraId="6EBAD01C" w14:textId="77777777" w:rsidR="00586C1E" w:rsidRPr="00586C1E" w:rsidRDefault="00586C1E" w:rsidP="00586C1E">
      <w:p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Two emergencies are running at once, and the second one resolves the apparent conflict in the first. Medically, a potentially massive intentional acetaminophen ingestion (a half-full bottle of ~100 × 500 mg = up to ~50 g, far above the toxic threshold) about 4–6 hours ago is a treatable but time-critical poisoning — and the calm, GCS-15 presentation is a trap, because acetaminophen toxicity is silent early and deadly late. Legally and ethically, his refusal is being driven by active suicidal intent, which is precisely the circumstance in which a refusal does not carry the weight of a capacitous decision.</w:t>
      </w:r>
    </w:p>
    <w:p w14:paraId="0FCEB245" w14:textId="77777777" w:rsidR="00586C1E" w:rsidRPr="00586C1E" w:rsidRDefault="00586C1E" w:rsidP="00586C1E">
      <w:p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This is a high-stakes clinical and medico-legal scenario; the following reflects standard toxicology and emergency-psychiatry principles and must be confirmed by the treating team and local law.</w:t>
      </w:r>
    </w:p>
    <w:p w14:paraId="0799AA5B" w14:textId="77777777" w:rsidR="00586C1E" w:rsidRPr="00586C1E" w:rsidRDefault="00586C1E" w:rsidP="00586C1E">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586C1E">
        <w:rPr>
          <w:rFonts w:ascii="Times New Roman" w:eastAsia="Times New Roman" w:hAnsi="Times New Roman" w:cs="Times New Roman"/>
          <w:b/>
          <w:bCs/>
          <w:kern w:val="0"/>
          <w:sz w:val="27"/>
          <w:szCs w:val="27"/>
          <w:lang w:eastAsia="el-GR"/>
          <w14:ligatures w14:val="none"/>
        </w:rPr>
        <w:t>Recommendation</w:t>
      </w:r>
    </w:p>
    <w:p w14:paraId="2D291BC2" w14:textId="77777777" w:rsidR="00586C1E" w:rsidRPr="00586C1E" w:rsidRDefault="00586C1E" w:rsidP="00586C1E">
      <w:p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b/>
          <w:bCs/>
          <w:kern w:val="0"/>
          <w:lang w:eastAsia="el-GR"/>
          <w14:ligatures w14:val="none"/>
        </w:rPr>
        <w:t>Do not let him leave. Treat this as a dangerous intentional overdose: start the workup and N-acetylcysteine (NAC), and detain him for safety under emergency/involuntary provisions pending a formal capacity and psychiatric assessment.</w:t>
      </w:r>
      <w:r w:rsidRPr="00586C1E">
        <w:rPr>
          <w:rFonts w:ascii="Times New Roman" w:eastAsia="Times New Roman" w:hAnsi="Times New Roman" w:cs="Times New Roman"/>
          <w:kern w:val="0"/>
          <w:lang w:eastAsia="el-GR"/>
          <w14:ligatures w14:val="none"/>
        </w:rPr>
        <w:t xml:space="preserve"> Respecting his "refusal" here would mean honoring a choice produced by the very illness that brought him in.</w:t>
      </w:r>
    </w:p>
    <w:p w14:paraId="1D1AABE2" w14:textId="77777777" w:rsidR="00586C1E" w:rsidRPr="00586C1E" w:rsidRDefault="00586C1E" w:rsidP="00586C1E">
      <w:p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 xml:space="preserve">The one-line reason: </w:t>
      </w:r>
      <w:r w:rsidRPr="00586C1E">
        <w:rPr>
          <w:rFonts w:ascii="Times New Roman" w:eastAsia="Times New Roman" w:hAnsi="Times New Roman" w:cs="Times New Roman"/>
          <w:b/>
          <w:bCs/>
          <w:kern w:val="0"/>
          <w:lang w:eastAsia="el-GR"/>
          <w14:ligatures w14:val="none"/>
        </w:rPr>
        <w:t>an effective antidote exists for a potentially lethal poisoning, and an actively suicidal patient mid-attempt almost never has the decision-making capacity to refuse the treatment that would save him.</w:t>
      </w:r>
    </w:p>
    <w:p w14:paraId="2340BEBE" w14:textId="77777777" w:rsidR="00586C1E" w:rsidRPr="00586C1E" w:rsidRDefault="00586C1E" w:rsidP="00586C1E">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586C1E">
        <w:rPr>
          <w:rFonts w:ascii="Times New Roman" w:eastAsia="Times New Roman" w:hAnsi="Times New Roman" w:cs="Times New Roman"/>
          <w:b/>
          <w:bCs/>
          <w:kern w:val="0"/>
          <w:sz w:val="27"/>
          <w:szCs w:val="27"/>
          <w:lang w:eastAsia="el-GR"/>
          <w14:ligatures w14:val="none"/>
        </w:rPr>
        <w:t>Why</w:t>
      </w:r>
    </w:p>
    <w:p w14:paraId="05E23700" w14:textId="77777777" w:rsidR="00586C1E" w:rsidRPr="00586C1E" w:rsidRDefault="00586C1E" w:rsidP="00586C1E">
      <w:p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On the toxicology, the numbers and timing both point toward treating, not waiting. The implied dose dwarfs the ~150 mg/kg toxic threshold, the time window for NAC is open (most effective within ~8 hours of ingestion, which he's still within), and his RUQ tenderness and vomiting fit early acetaminophen poisoning. The critical error would be reassurance from his normal vitals — hepatotoxicity is delayed by 24–72 hours, so "he looks well" tells you nothing about his trajectory. Because the ingestion time is uncertain (he says 4 hours, last seen normal 6 hours), the dose may be massive, and he may be minimizing or have staggered the intake, the safe move is a low threshold to start NAC empirically while the level is processed, rather than gambling on a single nomogram point. Activated charcoal has largely passed its window at 4–6 hours and carries aspiration risk in a vomiting, uncooperative patient, so it isn't the play here.</w:t>
      </w:r>
    </w:p>
    <w:p w14:paraId="5264A269" w14:textId="77777777" w:rsidR="00586C1E" w:rsidRPr="00586C1E" w:rsidRDefault="00586C1E" w:rsidP="00586C1E">
      <w:p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 xml:space="preserve">On capacity — the heart of the question — a valid refusal requires that he understand the information, </w:t>
      </w:r>
      <w:r w:rsidRPr="00586C1E">
        <w:rPr>
          <w:rFonts w:ascii="Times New Roman" w:eastAsia="Times New Roman" w:hAnsi="Times New Roman" w:cs="Times New Roman"/>
          <w:i/>
          <w:iCs/>
          <w:kern w:val="0"/>
          <w:lang w:eastAsia="el-GR"/>
          <w14:ligatures w14:val="none"/>
        </w:rPr>
        <w:t>appreciate</w:t>
      </w:r>
      <w:r w:rsidRPr="00586C1E">
        <w:rPr>
          <w:rFonts w:ascii="Times New Roman" w:eastAsia="Times New Roman" w:hAnsi="Times New Roman" w:cs="Times New Roman"/>
          <w:kern w:val="0"/>
          <w:lang w:eastAsia="el-GR"/>
          <w14:ligatures w14:val="none"/>
        </w:rPr>
        <w:t xml:space="preserve"> how it applies to him, reason with it, and communicate a choice. Active suicidality corrupts the appreciation and reasoning steps: he isn't weighing the risk of death as an unwanted outcome, he is seeking it as the goal, in the grip of an acute mental health crisis. A suicide attempt in progress, with explicit ongoing ideation, is a textbook situation for emergency treatment and an involuntary hold under mental health legislation. The autonomy-respecting instinct — "he's an </w:t>
      </w:r>
      <w:r w:rsidRPr="00586C1E">
        <w:rPr>
          <w:rFonts w:ascii="Times New Roman" w:eastAsia="Times New Roman" w:hAnsi="Times New Roman" w:cs="Times New Roman"/>
          <w:kern w:val="0"/>
          <w:lang w:eastAsia="el-GR"/>
          <w14:ligatures w14:val="none"/>
        </w:rPr>
        <w:lastRenderedPageBreak/>
        <w:t>adult, GCS 15, he said no" — is the obvious-but-wrong default; autonomy presupposes capacity, and that's exactly what's in doubt.</w:t>
      </w:r>
    </w:p>
    <w:p w14:paraId="79B784CF" w14:textId="77777777" w:rsidR="00586C1E" w:rsidRPr="00586C1E" w:rsidRDefault="00586C1E" w:rsidP="00586C1E">
      <w:p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b/>
          <w:bCs/>
          <w:kern w:val="0"/>
          <w:lang w:eastAsia="el-GR"/>
          <w14:ligatures w14:val="none"/>
        </w:rPr>
        <w:t>Main risk / what would change the call:</w:t>
      </w:r>
      <w:r w:rsidRPr="00586C1E">
        <w:rPr>
          <w:rFonts w:ascii="Times New Roman" w:eastAsia="Times New Roman" w:hAnsi="Times New Roman" w:cs="Times New Roman"/>
          <w:kern w:val="0"/>
          <w:lang w:eastAsia="el-GR"/>
          <w14:ligatures w14:val="none"/>
        </w:rPr>
        <w:t xml:space="preserve"> the strongest counter is the small possibility that a careful, documented capacity assessment finds him fully capacitous — but in active suicidal crisis that is rare, and the irreversibility of letting a treatable lethal overdose walk out tilts hard toward erring on the side of preserving life. The other thing that changes management detail (not the decision to treat) is the acetaminophen level: if a properly timed level comes back clearly non-toxic with a genuinely reliable single-ingestion history, NAC can be reconsidered — but you start while you wait, you don't wait to start.</w:t>
      </w:r>
    </w:p>
    <w:p w14:paraId="106F0445" w14:textId="77777777" w:rsidR="00586C1E" w:rsidRPr="00586C1E" w:rsidRDefault="00586C1E" w:rsidP="00586C1E">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586C1E">
        <w:rPr>
          <w:rFonts w:ascii="Times New Roman" w:eastAsia="Times New Roman" w:hAnsi="Times New Roman" w:cs="Times New Roman"/>
          <w:b/>
          <w:bCs/>
          <w:kern w:val="0"/>
          <w:sz w:val="27"/>
          <w:szCs w:val="27"/>
          <w:lang w:eastAsia="el-GR"/>
          <w14:ligatures w14:val="none"/>
        </w:rPr>
        <w:t>Next steps</w:t>
      </w:r>
    </w:p>
    <w:p w14:paraId="0E038357" w14:textId="77777777" w:rsidR="00586C1E" w:rsidRPr="00586C1E" w:rsidRDefault="00586C1E" w:rsidP="00586C1E">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b/>
          <w:bCs/>
          <w:kern w:val="0"/>
          <w:lang w:eastAsia="el-GR"/>
          <w14:ligatures w14:val="none"/>
        </w:rPr>
        <w:t>Detain and make safe:</w:t>
      </w:r>
      <w:r w:rsidRPr="00586C1E">
        <w:rPr>
          <w:rFonts w:ascii="Times New Roman" w:eastAsia="Times New Roman" w:hAnsi="Times New Roman" w:cs="Times New Roman"/>
          <w:kern w:val="0"/>
          <w:lang w:eastAsia="el-GR"/>
          <w14:ligatures w14:val="none"/>
        </w:rPr>
        <w:t xml:space="preserve"> prevent elopement (security present, one-to-one observation), remove means, and treat under emergency/involuntary provisions per local mental health law while a formal capacity assessment and psychiatric evaluation are arranged.</w:t>
      </w:r>
    </w:p>
    <w:p w14:paraId="37D263E4" w14:textId="77777777" w:rsidR="00586C1E" w:rsidRPr="00586C1E" w:rsidRDefault="00586C1E" w:rsidP="00586C1E">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b/>
          <w:bCs/>
          <w:kern w:val="0"/>
          <w:lang w:eastAsia="el-GR"/>
          <w14:ligatures w14:val="none"/>
        </w:rPr>
        <w:t>De-escalate in parallel:</w:t>
      </w:r>
      <w:r w:rsidRPr="00586C1E">
        <w:rPr>
          <w:rFonts w:ascii="Times New Roman" w:eastAsia="Times New Roman" w:hAnsi="Times New Roman" w:cs="Times New Roman"/>
          <w:kern w:val="0"/>
          <w:lang w:eastAsia="el-GR"/>
          <w14:ligatures w14:val="none"/>
        </w:rPr>
        <w:t xml:space="preserve"> a calm, non-confrontational approach to gain cooperation often works better than force and should be tried alongside, not instead of, the hold.</w:t>
      </w:r>
    </w:p>
    <w:p w14:paraId="1D4F0004" w14:textId="77777777" w:rsidR="00586C1E" w:rsidRPr="00586C1E" w:rsidRDefault="00586C1E" w:rsidP="00586C1E">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b/>
          <w:bCs/>
          <w:kern w:val="0"/>
          <w:lang w:eastAsia="el-GR"/>
          <w14:ligatures w14:val="none"/>
        </w:rPr>
        <w:t>Toxicology workup now:</w:t>
      </w:r>
      <w:r w:rsidRPr="00586C1E">
        <w:rPr>
          <w:rFonts w:ascii="Times New Roman" w:eastAsia="Times New Roman" w:hAnsi="Times New Roman" w:cs="Times New Roman"/>
          <w:kern w:val="0"/>
          <w:lang w:eastAsia="el-GR"/>
          <w14:ligatures w14:val="none"/>
        </w:rPr>
        <w:t xml:space="preserve"> acetaminophen level at the appropriate post-ingestion time (plot on the Rumack-Matthew nomogram for a single acute ingestion), plus baseline LFTs, INR/coagulation, renal function, venous gas/lactate, glucose, and a salicylate level to screen for co-ingestion.</w:t>
      </w:r>
    </w:p>
    <w:p w14:paraId="7AC0594A" w14:textId="77777777" w:rsidR="00586C1E" w:rsidRPr="00586C1E" w:rsidRDefault="00586C1E" w:rsidP="00586C1E">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b/>
          <w:bCs/>
          <w:kern w:val="0"/>
          <w:lang w:eastAsia="el-GR"/>
          <w14:ligatures w14:val="none"/>
        </w:rPr>
        <w:t>Start NAC</w:t>
      </w:r>
      <w:r w:rsidRPr="00586C1E">
        <w:rPr>
          <w:rFonts w:ascii="Times New Roman" w:eastAsia="Times New Roman" w:hAnsi="Times New Roman" w:cs="Times New Roman"/>
          <w:kern w:val="0"/>
          <w:lang w:eastAsia="el-GR"/>
          <w14:ligatures w14:val="none"/>
        </w:rPr>
        <w:t xml:space="preserve"> given the potentially massive dose and timing uncertainty rather than waiting; involve a poisons/toxicology service early, as very large ingestions may need modified dosing.</w:t>
      </w:r>
    </w:p>
    <w:p w14:paraId="402E62CB" w14:textId="77777777" w:rsidR="00586C1E" w:rsidRPr="00586C1E" w:rsidRDefault="00586C1E" w:rsidP="00586C1E">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b/>
          <w:bCs/>
          <w:kern w:val="0"/>
          <w:lang w:eastAsia="el-GR"/>
          <w14:ligatures w14:val="none"/>
        </w:rPr>
        <w:t>What to watch:</w:t>
      </w:r>
      <w:r w:rsidRPr="00586C1E">
        <w:rPr>
          <w:rFonts w:ascii="Times New Roman" w:eastAsia="Times New Roman" w:hAnsi="Times New Roman" w:cs="Times New Roman"/>
          <w:kern w:val="0"/>
          <w:lang w:eastAsia="el-GR"/>
          <w14:ligatures w14:val="none"/>
        </w:rPr>
        <w:t xml:space="preserve"> the level relative to the treatment line, and trends in transaminases, INR, lactate, pH, and renal function over the coming hours/days — rising LFTs/INR or acidosis signal evolving hepatotoxicity and the need to escalate (and to consider transplant-center criteria in severe cases). Clinically he may look fine for a day; that does not mean he's safe.</w:t>
      </w:r>
    </w:p>
    <w:p w14:paraId="4E90E9C6" w14:textId="77777777" w:rsidR="00586C1E" w:rsidRPr="00586C1E" w:rsidRDefault="00586C1E" w:rsidP="00586C1E">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586C1E">
        <w:rPr>
          <w:rFonts w:ascii="Times New Roman" w:eastAsia="Times New Roman" w:hAnsi="Times New Roman" w:cs="Times New Roman"/>
          <w:b/>
          <w:bCs/>
          <w:kern w:val="0"/>
          <w:sz w:val="27"/>
          <w:szCs w:val="27"/>
          <w:lang w:eastAsia="el-GR"/>
          <w14:ligatures w14:val="none"/>
        </w:rPr>
        <w:t>Open questions</w:t>
      </w:r>
    </w:p>
    <w:p w14:paraId="28653D94" w14:textId="77777777" w:rsidR="00586C1E" w:rsidRPr="00586C1E" w:rsidRDefault="00586C1E" w:rsidP="00586C1E">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What is the properly timed acetaminophen level, and is the stated 4-hour ingestion time actually reliable (single vs. staggered)? This refines dosing/duration of NAC but should not delay starting it.</w:t>
      </w:r>
    </w:p>
    <w:p w14:paraId="4EF818C7" w14:textId="77777777" w:rsidR="00586C1E" w:rsidRPr="00586C1E" w:rsidRDefault="00586C1E" w:rsidP="00586C1E">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Any co-ingestants despite his denial (salicylates, others)? Worth excluding biochemically given the intent.</w:t>
      </w:r>
    </w:p>
    <w:p w14:paraId="1EDB651C" w14:textId="77777777" w:rsidR="00586C1E" w:rsidRPr="00586C1E" w:rsidRDefault="00586C1E" w:rsidP="00586C1E">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What does local mental health legislation require to formalize the involuntary hold and document the capacity assessment? The clinical decision is clear; the paperwork pathway is jurisdiction-specific.</w:t>
      </w:r>
    </w:p>
    <w:p w14:paraId="61C29C57" w14:textId="77777777" w:rsidR="00586C1E" w:rsidRPr="00586C1E" w:rsidRDefault="00586C1E" w:rsidP="00586C1E">
      <w:pPr>
        <w:spacing w:before="100" w:beforeAutospacing="1" w:after="100" w:afterAutospacing="1"/>
        <w:rPr>
          <w:rFonts w:ascii="Times New Roman" w:eastAsia="Times New Roman" w:hAnsi="Times New Roman" w:cs="Times New Roman"/>
          <w:kern w:val="0"/>
          <w:lang w:eastAsia="el-GR"/>
          <w14:ligatures w14:val="none"/>
        </w:rPr>
      </w:pPr>
      <w:r w:rsidRPr="00586C1E">
        <w:rPr>
          <w:rFonts w:ascii="Times New Roman" w:eastAsia="Times New Roman" w:hAnsi="Times New Roman" w:cs="Times New Roman"/>
          <w:kern w:val="0"/>
          <w:lang w:eastAsia="el-GR"/>
          <w14:ligatures w14:val="none"/>
        </w:rPr>
        <w:t>This scenario involves suicide and self-harm, which is a sensitive area. If any of this touches your own situation rather than a training case, please reach out to someone you trust or a local crisis line — and I can help find appropriate resources if that would be useful.</w:t>
      </w:r>
    </w:p>
    <w:p w14:paraId="3A482B4B"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64A"/>
    <w:multiLevelType w:val="multilevel"/>
    <w:tmpl w:val="39A6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04D69"/>
    <w:multiLevelType w:val="multilevel"/>
    <w:tmpl w:val="F084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984403">
    <w:abstractNumId w:val="1"/>
  </w:num>
  <w:num w:numId="2" w16cid:durableId="70244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C1E"/>
    <w:rsid w:val="000F1CC1"/>
    <w:rsid w:val="0056380E"/>
    <w:rsid w:val="00586C1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8A1C0C7"/>
  <w15:chartTrackingRefBased/>
  <w15:docId w15:val="{50492A88-AA49-024D-A731-7A988F22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86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86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86C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86C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86C1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86C1E"/>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86C1E"/>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86C1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86C1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86C1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586C1E"/>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86C1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86C1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86C1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86C1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86C1E"/>
    <w:rPr>
      <w:rFonts w:eastAsiaTheme="majorEastAsia" w:cstheme="majorBidi"/>
      <w:color w:val="272727" w:themeColor="text1" w:themeTint="D8"/>
    </w:rPr>
  </w:style>
  <w:style w:type="paragraph" w:styleId="a3">
    <w:name w:val="Title"/>
    <w:basedOn w:val="a"/>
    <w:next w:val="a"/>
    <w:link w:val="Char"/>
    <w:uiPriority w:val="10"/>
    <w:qFormat/>
    <w:rsid w:val="00586C1E"/>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86C1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6C1E"/>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86C1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86C1E"/>
    <w:pPr>
      <w:spacing w:before="160" w:after="160"/>
      <w:jc w:val="center"/>
    </w:pPr>
    <w:rPr>
      <w:i/>
      <w:iCs/>
      <w:color w:val="404040" w:themeColor="text1" w:themeTint="BF"/>
    </w:rPr>
  </w:style>
  <w:style w:type="character" w:customStyle="1" w:styleId="Char1">
    <w:name w:val="Απόσπασμα Char"/>
    <w:basedOn w:val="a0"/>
    <w:link w:val="a5"/>
    <w:uiPriority w:val="29"/>
    <w:rsid w:val="00586C1E"/>
    <w:rPr>
      <w:i/>
      <w:iCs/>
      <w:color w:val="404040" w:themeColor="text1" w:themeTint="BF"/>
    </w:rPr>
  </w:style>
  <w:style w:type="paragraph" w:styleId="a6">
    <w:name w:val="List Paragraph"/>
    <w:basedOn w:val="a"/>
    <w:uiPriority w:val="34"/>
    <w:qFormat/>
    <w:rsid w:val="00586C1E"/>
    <w:pPr>
      <w:ind w:left="720"/>
      <w:contextualSpacing/>
    </w:pPr>
  </w:style>
  <w:style w:type="character" w:styleId="a7">
    <w:name w:val="Intense Emphasis"/>
    <w:basedOn w:val="a0"/>
    <w:uiPriority w:val="21"/>
    <w:qFormat/>
    <w:rsid w:val="00586C1E"/>
    <w:rPr>
      <w:i/>
      <w:iCs/>
      <w:color w:val="0F4761" w:themeColor="accent1" w:themeShade="BF"/>
    </w:rPr>
  </w:style>
  <w:style w:type="paragraph" w:styleId="a8">
    <w:name w:val="Intense Quote"/>
    <w:basedOn w:val="a"/>
    <w:next w:val="a"/>
    <w:link w:val="Char2"/>
    <w:uiPriority w:val="30"/>
    <w:qFormat/>
    <w:rsid w:val="00586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86C1E"/>
    <w:rPr>
      <w:i/>
      <w:iCs/>
      <w:color w:val="0F4761" w:themeColor="accent1" w:themeShade="BF"/>
    </w:rPr>
  </w:style>
  <w:style w:type="character" w:styleId="a9">
    <w:name w:val="Intense Reference"/>
    <w:basedOn w:val="a0"/>
    <w:uiPriority w:val="32"/>
    <w:qFormat/>
    <w:rsid w:val="00586C1E"/>
    <w:rPr>
      <w:b/>
      <w:bCs/>
      <w:smallCaps/>
      <w:color w:val="0F4761" w:themeColor="accent1" w:themeShade="BF"/>
      <w:spacing w:val="5"/>
    </w:rPr>
  </w:style>
  <w:style w:type="paragraph" w:customStyle="1" w:styleId="font-claude-response-body">
    <w:name w:val="font-claude-response-body"/>
    <w:basedOn w:val="a"/>
    <w:rsid w:val="00586C1E"/>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86C1E"/>
    <w:rPr>
      <w:b/>
      <w:bCs/>
    </w:rPr>
  </w:style>
  <w:style w:type="character" w:styleId="ab">
    <w:name w:val="Emphasis"/>
    <w:basedOn w:val="a0"/>
    <w:uiPriority w:val="20"/>
    <w:qFormat/>
    <w:rsid w:val="00586C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903</Words>
  <Characters>4862</Characters>
  <Application>Microsoft Office Word</Application>
  <DocSecurity>0</DocSecurity>
  <Lines>83</Lines>
  <Paragraphs>34</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2026-06-13T14:57:00Z</dcterms:created>
  <dcterms:modified xsi:type="dcterms:W3CDTF">2026-06-13T15:00:00Z</dcterms:modified>
</cp:coreProperties>
</file>