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9255" w14:textId="77777777" w:rsidR="001F3D23" w:rsidRDefault="001F3D23" w:rsidP="001F3D23">
      <w:r>
        <w:t>In this scenario, a 25-year-old male patient named Chris Castillo is brought to the Emergency Department (ED) with symptoms of vomiting and abdominal pain after ingesting an empty bottle of Tylenol (acetaminophen). He expresses suicidal thoughts and refuses treatment. The team must determine the safest immediate management plan for this toxicological and mental health emergency.</w:t>
      </w:r>
    </w:p>
    <w:p w14:paraId="29D586A5" w14:textId="77777777" w:rsidR="001F3D23" w:rsidRDefault="001F3D23" w:rsidP="001F3D23"/>
    <w:p w14:paraId="7F9B3184" w14:textId="77777777" w:rsidR="001F3D23" w:rsidRDefault="001F3D23" w:rsidP="001F3D23">
      <w:r>
        <w:t>**Recommendation:** Given Chris's acute ingestion of a potentially lethal dose of acetaminophen, suicidality, and refusal of treatment, it is essential to prioritize his safety and initiate urgent interventions for both the toxicological emergency and mental health concern. I recommend performing a thorough physical examination, obtaining laboratory tests (such as acetaminophen levels), and administering N-acetylcysteine (NAC) if acetaminophen poisoning is suspected. If Chris continues to resist treatment, involuntary admission for observation and further evaluation may be necessary for his safety and wellbeing.</w:t>
      </w:r>
    </w:p>
    <w:p w14:paraId="7FC7A363" w14:textId="77777777" w:rsidR="001F3D23" w:rsidRDefault="001F3D23" w:rsidP="001F3D23"/>
    <w:p w14:paraId="28D418B5" w14:textId="77777777" w:rsidR="001F3D23" w:rsidRDefault="001F3D23" w:rsidP="001F3D23">
      <w:r>
        <w:t>**Tradeoffs:** The recommended approach offers several benefits: it ensures the patient's immediate safety from potential harm due to both acetaminophen overdose and suicidality. However, this choice carries additional risks such as increased healthcare costs, potential invasiveness of procedures, and potential loss of autonomy for the patient.</w:t>
      </w:r>
    </w:p>
    <w:p w14:paraId="6BC4A873" w14:textId="77777777" w:rsidR="001F3D23" w:rsidRDefault="001F3D23" w:rsidP="001F3D23"/>
    <w:p w14:paraId="727F35AA" w14:textId="77777777" w:rsidR="001F3D23" w:rsidRDefault="001F3D23" w:rsidP="001F3D23">
      <w:r>
        <w:t>**Next steps:** If Chris can be persuaded to accept treatment, the following steps should be taken:</w:t>
      </w:r>
    </w:p>
    <w:p w14:paraId="153ABE8F" w14:textId="77777777" w:rsidR="001F3D23" w:rsidRDefault="001F3D23" w:rsidP="001F3D23">
      <w:r>
        <w:t>1. Administer intravenous NAC therapy (400 mg/kg in three divided doses) if acetaminophen poisoning is confirmed or suspected.</w:t>
      </w:r>
    </w:p>
    <w:p w14:paraId="09AD3AE9" w14:textId="77777777" w:rsidR="001F3D23" w:rsidRDefault="001F3D23" w:rsidP="001F3D23">
      <w:r>
        <w:t>2. Monitor liver function tests (LFTs), including total bilirubin, aspartate aminotransferase (AST), and alanine transaminase (ALT).</w:t>
      </w:r>
    </w:p>
    <w:p w14:paraId="55B9B0A5" w14:textId="77777777" w:rsidR="001F3D23" w:rsidRDefault="001F3D23" w:rsidP="001F3D23">
      <w:r>
        <w:t>3. Provide appropriate mental health support, such as psychiatric consultation or observation, if necessary.</w:t>
      </w:r>
    </w:p>
    <w:p w14:paraId="4FBA8607" w14:textId="77777777" w:rsidR="001F3D23" w:rsidRDefault="001F3D23" w:rsidP="001F3D23">
      <w:r>
        <w:t>4. Continuously assess the patient's suicidality risk.</w:t>
      </w:r>
    </w:p>
    <w:p w14:paraId="41B49D73" w14:textId="77777777" w:rsidR="001F3D23" w:rsidRDefault="001F3D23" w:rsidP="001F3D23">
      <w:r>
        <w:t>5. Arrange for follow-up appointments with a healthcare provider to ensure ongoing care and support.</w:t>
      </w:r>
    </w:p>
    <w:p w14:paraId="490915A0" w14:textId="77777777" w:rsidR="001F3D23" w:rsidRDefault="001F3D23" w:rsidP="001F3D23"/>
    <w:p w14:paraId="7C8F7496" w14:textId="77777777" w:rsidR="001F3D23" w:rsidRDefault="001F3D23" w:rsidP="001F3D23">
      <w:r>
        <w:t>**Open questions:** To ensure proper understanding of the situation, the following questions might be helpful:</w:t>
      </w:r>
    </w:p>
    <w:p w14:paraId="26789A0D" w14:textId="77777777" w:rsidR="001F3D23" w:rsidRDefault="001F3D23" w:rsidP="001F3D23">
      <w:r>
        <w:t>- What is Chris's current mental status, and have any changes in his suicidality been observed since arriving at the ED?</w:t>
      </w:r>
    </w:p>
    <w:p w14:paraId="7BBAAC6D" w14:textId="77777777" w:rsidR="001F3D23" w:rsidRDefault="001F3D23" w:rsidP="001F3D23">
      <w:r>
        <w:t>- Are there any other substances or medications that could potentially interact with the acetaminophen overdose and affect treatment options?</w:t>
      </w:r>
    </w:p>
    <w:p w14:paraId="4375CB48" w14:textId="77777777" w:rsidR="001F3D23" w:rsidRDefault="001F3D23" w:rsidP="001F3D23">
      <w:r>
        <w:t>- Have any previous attempts to treat Chris for the acetaminophen ingestion or mental health concerns been made, and what were the outcomes?</w:t>
      </w:r>
    </w:p>
    <w:p w14:paraId="19046266" w14:textId="77777777" w:rsidR="001F3D23" w:rsidRDefault="001F3D23" w:rsidP="001F3D23"/>
    <w:p w14:paraId="20BE49D8" w14:textId="583FA358" w:rsidR="00E26B4F" w:rsidRDefault="001F3D23" w:rsidP="001F3D23">
      <w:r>
        <w:t>Note: The given citations provide similar information, so no new insights are gained from them.</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D23"/>
    <w:rsid w:val="000F1CC1"/>
    <w:rsid w:val="001F3D23"/>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2C7FBEF"/>
  <w15:chartTrackingRefBased/>
  <w15:docId w15:val="{0B2499A3-3A49-0448-B1C1-26797260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F3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F3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F3D2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1F3D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F3D2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F3D2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F3D2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F3D2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1F3D2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1F3D2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F3D23"/>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1F3D2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F3D2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F3D2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F3D2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F3D23"/>
    <w:rPr>
      <w:rFonts w:eastAsiaTheme="majorEastAsia" w:cstheme="majorBidi"/>
      <w:color w:val="272727" w:themeColor="text1" w:themeTint="D8"/>
    </w:rPr>
  </w:style>
  <w:style w:type="paragraph" w:styleId="a3">
    <w:name w:val="Title"/>
    <w:basedOn w:val="a"/>
    <w:next w:val="a"/>
    <w:link w:val="Char"/>
    <w:uiPriority w:val="10"/>
    <w:qFormat/>
    <w:rsid w:val="001F3D2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F3D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F3D23"/>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F3D2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F3D23"/>
    <w:pPr>
      <w:spacing w:before="160" w:after="160"/>
      <w:jc w:val="center"/>
    </w:pPr>
    <w:rPr>
      <w:i/>
      <w:iCs/>
      <w:color w:val="404040" w:themeColor="text1" w:themeTint="BF"/>
    </w:rPr>
  </w:style>
  <w:style w:type="character" w:customStyle="1" w:styleId="Char1">
    <w:name w:val="Απόσπασμα Char"/>
    <w:basedOn w:val="a0"/>
    <w:link w:val="a5"/>
    <w:uiPriority w:val="29"/>
    <w:rsid w:val="001F3D23"/>
    <w:rPr>
      <w:i/>
      <w:iCs/>
      <w:color w:val="404040" w:themeColor="text1" w:themeTint="BF"/>
    </w:rPr>
  </w:style>
  <w:style w:type="paragraph" w:styleId="a6">
    <w:name w:val="List Paragraph"/>
    <w:basedOn w:val="a"/>
    <w:uiPriority w:val="34"/>
    <w:qFormat/>
    <w:rsid w:val="001F3D23"/>
    <w:pPr>
      <w:ind w:left="720"/>
      <w:contextualSpacing/>
    </w:pPr>
  </w:style>
  <w:style w:type="character" w:styleId="a7">
    <w:name w:val="Intense Emphasis"/>
    <w:basedOn w:val="a0"/>
    <w:uiPriority w:val="21"/>
    <w:qFormat/>
    <w:rsid w:val="001F3D23"/>
    <w:rPr>
      <w:i/>
      <w:iCs/>
      <w:color w:val="0F4761" w:themeColor="accent1" w:themeShade="BF"/>
    </w:rPr>
  </w:style>
  <w:style w:type="paragraph" w:styleId="a8">
    <w:name w:val="Intense Quote"/>
    <w:basedOn w:val="a"/>
    <w:next w:val="a"/>
    <w:link w:val="Char2"/>
    <w:uiPriority w:val="30"/>
    <w:qFormat/>
    <w:rsid w:val="001F3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F3D23"/>
    <w:rPr>
      <w:i/>
      <w:iCs/>
      <w:color w:val="0F4761" w:themeColor="accent1" w:themeShade="BF"/>
    </w:rPr>
  </w:style>
  <w:style w:type="character" w:styleId="a9">
    <w:name w:val="Intense Reference"/>
    <w:basedOn w:val="a0"/>
    <w:uiPriority w:val="32"/>
    <w:qFormat/>
    <w:rsid w:val="001F3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362</Words>
  <Characters>2223</Characters>
  <Application>Microsoft Office Word</Application>
  <DocSecurity>0</DocSecurity>
  <Lines>46</Lines>
  <Paragraphs>14</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2026-06-13T17:16:00Z</dcterms:created>
  <dcterms:modified xsi:type="dcterms:W3CDTF">2026-06-13T17:16:00Z</dcterms:modified>
</cp:coreProperties>
</file>