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A4563" w14:textId="77777777" w:rsidR="000810E4" w:rsidRPr="00C84BBD" w:rsidRDefault="00000000">
      <w:pPr>
        <w:pStyle w:val="a3"/>
        <w:rPr>
          <w:rFonts w:ascii="Verdana" w:hAnsi="Verdana"/>
          <w:color w:val="000000" w:themeColor="text1"/>
          <w:sz w:val="48"/>
          <w:szCs w:val="48"/>
          <w:lang w:val="en-US"/>
        </w:rPr>
      </w:pPr>
      <w:r w:rsidRPr="00C84BBD">
        <w:rPr>
          <w:rFonts w:ascii="Verdana" w:hAnsi="Verdana"/>
          <w:b/>
          <w:bCs/>
          <w:color w:val="000000" w:themeColor="text1"/>
          <w:sz w:val="48"/>
          <w:szCs w:val="48"/>
          <w:lang w:val="en-US"/>
        </w:rPr>
        <w:t>SEGNAR Knowledge Graph Structural Evaluation</w:t>
      </w:r>
    </w:p>
    <w:p w14:paraId="1FC4C24E" w14:textId="77777777" w:rsidR="000810E4" w:rsidRPr="00C84BBD" w:rsidRDefault="00000000">
      <w:pPr>
        <w:spacing w:after="120"/>
        <w:rPr>
          <w:rFonts w:ascii="Verdana" w:hAnsi="Verdana"/>
          <w:color w:val="000000" w:themeColor="text1"/>
          <w:sz w:val="16"/>
          <w:szCs w:val="16"/>
          <w:lang w:val="en-US"/>
        </w:rPr>
      </w:pPr>
      <w:r w:rsidRPr="00C84BBD">
        <w:rPr>
          <w:rFonts w:ascii="Verdana" w:hAnsi="Verdana"/>
          <w:color w:val="000000" w:themeColor="text1"/>
          <w:sz w:val="16"/>
          <w:szCs w:val="16"/>
          <w:lang w:val="en-US"/>
        </w:rPr>
        <w:t>This report documents the structural validation applied to the three LLM-generated domain knowledge graphs (Search and Rescue, Border Security, Crisis Negotiation) before their use in scenario generation. The checks verify well-formedness and conformance to the SEGNAR domain-independent ontology; they do not assess domain accuracy, which is evaluated indirectly through the expert domain-fidelity ratings of the scenarios grounded in each graph (paper, Dimension 3).</w:t>
      </w:r>
    </w:p>
    <w:p w14:paraId="5A5EEDEC" w14:textId="77777777" w:rsidR="000810E4" w:rsidRPr="00C84BBD" w:rsidRDefault="00000000">
      <w:pPr>
        <w:spacing w:after="120"/>
        <w:rPr>
          <w:rFonts w:ascii="Verdana" w:hAnsi="Verdana"/>
          <w:color w:val="000000" w:themeColor="text1"/>
          <w:sz w:val="16"/>
          <w:szCs w:val="16"/>
          <w:lang w:val="en-US"/>
        </w:rPr>
      </w:pPr>
      <w:r w:rsidRPr="00C84BBD">
        <w:rPr>
          <w:rFonts w:ascii="Verdana" w:hAnsi="Verdana"/>
          <w:color w:val="000000" w:themeColor="text1"/>
          <w:sz w:val="16"/>
          <w:szCs w:val="16"/>
          <w:lang w:val="en-US"/>
        </w:rPr>
        <w:t>Validation was performed by parsing each Neo4j import script and checking, for each graph: (1) presence of all eight ontology classes as node labels; (2) conformance of relationship types to the ontology object properties and their accepted domain-specific extensions; (3) declaration of uniqueness constraints on entity identifiers; (4) referential validity of relationship endpoint labels; and (5) consistency between the declared and realized node and relationship counts.</w:t>
      </w:r>
    </w:p>
    <w:p w14:paraId="06DA4A6F" w14:textId="77777777" w:rsidR="000810E4" w:rsidRPr="00C84BBD" w:rsidRDefault="00000000" w:rsidP="00C84BBD">
      <w:pPr>
        <w:pStyle w:val="1"/>
        <w:spacing w:before="240" w:after="12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C84BBD">
        <w:rPr>
          <w:rFonts w:ascii="Verdana" w:hAnsi="Verdana"/>
          <w:color w:val="000000" w:themeColor="text1"/>
          <w:sz w:val="24"/>
          <w:szCs w:val="24"/>
        </w:rPr>
        <w:t>Summary</w:t>
      </w:r>
    </w:p>
    <w:tbl>
      <w:tblPr>
        <w:tblStyle w:val="2-1"/>
        <w:tblW w:w="9000" w:type="dxa"/>
        <w:tblLook w:val="0000" w:firstRow="0" w:lastRow="0" w:firstColumn="0" w:lastColumn="0" w:noHBand="0" w:noVBand="0"/>
      </w:tblPr>
      <w:tblGrid>
        <w:gridCol w:w="3600"/>
        <w:gridCol w:w="1560"/>
        <w:gridCol w:w="1800"/>
        <w:gridCol w:w="2040"/>
      </w:tblGrid>
      <w:tr w:rsidR="000810E4" w:rsidRPr="00C84BBD" w14:paraId="5D137CA8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F6633AD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Check</w:t>
            </w:r>
          </w:p>
        </w:tc>
        <w:tc>
          <w:tcPr>
            <w:tcW w:w="1560" w:type="dxa"/>
          </w:tcPr>
          <w:p w14:paraId="0ED96C43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SAR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61AF5EB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Border Security</w:t>
            </w:r>
          </w:p>
        </w:tc>
        <w:tc>
          <w:tcPr>
            <w:tcW w:w="2040" w:type="dxa"/>
          </w:tcPr>
          <w:p w14:paraId="13591F53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Crisis Negotiation</w:t>
            </w:r>
          </w:p>
        </w:tc>
      </w:tr>
      <w:tr w:rsidR="000810E4" w:rsidRPr="00C84BBD" w14:paraId="0F8F0A8D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FA21A23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Total nodes</w:t>
            </w:r>
          </w:p>
        </w:tc>
        <w:tc>
          <w:tcPr>
            <w:tcW w:w="1560" w:type="dxa"/>
          </w:tcPr>
          <w:p w14:paraId="18D19A24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94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C13205C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133</w:t>
            </w:r>
          </w:p>
        </w:tc>
        <w:tc>
          <w:tcPr>
            <w:tcW w:w="2040" w:type="dxa"/>
          </w:tcPr>
          <w:p w14:paraId="44CD35A0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81</w:t>
            </w:r>
          </w:p>
        </w:tc>
      </w:tr>
      <w:tr w:rsidR="000810E4" w:rsidRPr="00C84BBD" w14:paraId="7F936DAC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D948B60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Total relationships</w:t>
            </w:r>
          </w:p>
        </w:tc>
        <w:tc>
          <w:tcPr>
            <w:tcW w:w="1560" w:type="dxa"/>
          </w:tcPr>
          <w:p w14:paraId="46B3DF01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346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D7F103D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367</w:t>
            </w:r>
          </w:p>
        </w:tc>
        <w:tc>
          <w:tcPr>
            <w:tcW w:w="2040" w:type="dxa"/>
          </w:tcPr>
          <w:p w14:paraId="0E9EDD10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80</w:t>
            </w:r>
          </w:p>
        </w:tc>
      </w:tr>
      <w:tr w:rsidR="000810E4" w:rsidRPr="00C84BBD" w14:paraId="4A00054B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5E36EE5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All 8 ontology classes present</w:t>
            </w:r>
          </w:p>
        </w:tc>
        <w:tc>
          <w:tcPr>
            <w:tcW w:w="1560" w:type="dxa"/>
          </w:tcPr>
          <w:p w14:paraId="11223A5C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92595DD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tcW w:w="2040" w:type="dxa"/>
          </w:tcPr>
          <w:p w14:paraId="61F33333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</w:tr>
      <w:tr w:rsidR="000810E4" w:rsidRPr="00C84BBD" w14:paraId="1ECFB220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DD7D8F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Relationship types conform to ontology</w:t>
            </w:r>
          </w:p>
        </w:tc>
        <w:tc>
          <w:tcPr>
            <w:tcW w:w="1560" w:type="dxa"/>
          </w:tcPr>
          <w:p w14:paraId="5CAABFC9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D8C763C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tcW w:w="2040" w:type="dxa"/>
          </w:tcPr>
          <w:p w14:paraId="30A0AB13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</w:tr>
      <w:tr w:rsidR="000810E4" w:rsidRPr="00C84BBD" w14:paraId="765A5F62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0F12E46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Off-ontology relationship types</w:t>
            </w:r>
          </w:p>
        </w:tc>
        <w:tc>
          <w:tcPr>
            <w:tcW w:w="1560" w:type="dxa"/>
          </w:tcPr>
          <w:p w14:paraId="5F88F331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3E68EBF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  <w:tc>
          <w:tcPr>
            <w:tcW w:w="2040" w:type="dxa"/>
          </w:tcPr>
          <w:p w14:paraId="5EFEF719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810E4" w:rsidRPr="00C84BBD" w14:paraId="036F4375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040A22A0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ID uniqueness constraints declared</w:t>
            </w:r>
          </w:p>
        </w:tc>
        <w:tc>
          <w:tcPr>
            <w:tcW w:w="1560" w:type="dxa"/>
          </w:tcPr>
          <w:p w14:paraId="13DEF685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 (8)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BA40E1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 (8)</w:t>
            </w:r>
          </w:p>
        </w:tc>
        <w:tc>
          <w:tcPr>
            <w:tcW w:w="2040" w:type="dxa"/>
          </w:tcPr>
          <w:p w14:paraId="0FBDE7B8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 (8)</w:t>
            </w:r>
          </w:p>
        </w:tc>
      </w:tr>
      <w:tr w:rsidR="000810E4" w:rsidRPr="00C84BBD" w14:paraId="7BEC1546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E7B892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Referential integrity / valid endpoints</w:t>
            </w:r>
          </w:p>
        </w:tc>
        <w:tc>
          <w:tcPr>
            <w:tcW w:w="1560" w:type="dxa"/>
          </w:tcPr>
          <w:p w14:paraId="4449E9CC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29B1345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  <w:tc>
          <w:tcPr>
            <w:tcW w:w="2040" w:type="dxa"/>
          </w:tcPr>
          <w:p w14:paraId="723F27F0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Yes</w:t>
            </w:r>
          </w:p>
        </w:tc>
      </w:tr>
      <w:tr w:rsidR="000810E4" w:rsidRPr="00C84BBD" w14:paraId="4995CF28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AF91EA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Duplicate entity identifiers</w:t>
            </w:r>
          </w:p>
        </w:tc>
        <w:tc>
          <w:tcPr>
            <w:tcW w:w="1560" w:type="dxa"/>
          </w:tcPr>
          <w:p w14:paraId="3218FE99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3EC13F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  <w:tc>
          <w:tcPr>
            <w:tcW w:w="2040" w:type="dxa"/>
          </w:tcPr>
          <w:p w14:paraId="12C5CEA8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None</w:t>
            </w:r>
          </w:p>
        </w:tc>
      </w:tr>
      <w:tr w:rsidR="000810E4" w:rsidRPr="00C84BBD" w14:paraId="08C55F94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339205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Node-count consistency</w:t>
            </w:r>
          </w:p>
        </w:tc>
        <w:tc>
          <w:tcPr>
            <w:tcW w:w="1560" w:type="dxa"/>
          </w:tcPr>
          <w:p w14:paraId="119AE8FA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Consistent (94)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EE86ED9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Consistent (133)</w:t>
            </w:r>
          </w:p>
        </w:tc>
        <w:tc>
          <w:tcPr>
            <w:tcW w:w="2040" w:type="dxa"/>
          </w:tcPr>
          <w:p w14:paraId="35F1653B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Consistent (81)</w:t>
            </w:r>
          </w:p>
        </w:tc>
      </w:tr>
    </w:tbl>
    <w:p w14:paraId="16F06DC3" w14:textId="77777777" w:rsidR="000810E4" w:rsidRPr="00C84BBD" w:rsidRDefault="000810E4">
      <w:pPr>
        <w:spacing w:after="120"/>
        <w:rPr>
          <w:rFonts w:ascii="Verdana" w:hAnsi="Verdana"/>
          <w:color w:val="000000" w:themeColor="text1"/>
          <w:sz w:val="16"/>
          <w:szCs w:val="16"/>
        </w:rPr>
      </w:pPr>
    </w:p>
    <w:p w14:paraId="20AF7FC6" w14:textId="77777777" w:rsidR="000810E4" w:rsidRPr="00C84BBD" w:rsidRDefault="00000000">
      <w:pPr>
        <w:spacing w:after="12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color w:val="000000" w:themeColor="text1"/>
          <w:sz w:val="16"/>
          <w:szCs w:val="16"/>
        </w:rPr>
        <w:t>All three graphs are structurally well-formed and conform to the SEGNAR ontology. No missing classes, off-ontology relationship types, duplicate identifiers, or dangling relationship endpoints were found.</w:t>
      </w:r>
    </w:p>
    <w:p w14:paraId="07C58FAC" w14:textId="77777777" w:rsidR="000810E4" w:rsidRPr="00C84BBD" w:rsidRDefault="00000000" w:rsidP="00C84BBD">
      <w:pPr>
        <w:pStyle w:val="1"/>
        <w:spacing w:before="240" w:after="12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C84BBD">
        <w:rPr>
          <w:rFonts w:ascii="Verdana" w:hAnsi="Verdana"/>
          <w:color w:val="000000" w:themeColor="text1"/>
          <w:sz w:val="24"/>
          <w:szCs w:val="24"/>
        </w:rPr>
        <w:t>Per-domain node distribution</w:t>
      </w:r>
    </w:p>
    <w:tbl>
      <w:tblPr>
        <w:tblStyle w:val="2-1"/>
        <w:tblW w:w="9000" w:type="dxa"/>
        <w:tblLook w:val="0000" w:firstRow="0" w:lastRow="0" w:firstColumn="0" w:lastColumn="0" w:noHBand="0" w:noVBand="0"/>
      </w:tblPr>
      <w:tblGrid>
        <w:gridCol w:w="3600"/>
        <w:gridCol w:w="1560"/>
        <w:gridCol w:w="1800"/>
        <w:gridCol w:w="2040"/>
      </w:tblGrid>
      <w:tr w:rsidR="000810E4" w:rsidRPr="00C84BBD" w14:paraId="345E51BA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1256A90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Class</w:t>
            </w:r>
          </w:p>
        </w:tc>
        <w:tc>
          <w:tcPr>
            <w:tcW w:w="1560" w:type="dxa"/>
          </w:tcPr>
          <w:p w14:paraId="5375EF2D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SAR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E657B85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Border Security</w:t>
            </w:r>
          </w:p>
        </w:tc>
        <w:tc>
          <w:tcPr>
            <w:tcW w:w="2040" w:type="dxa"/>
          </w:tcPr>
          <w:p w14:paraId="464085EB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Crisis Negotiation</w:t>
            </w:r>
          </w:p>
        </w:tc>
      </w:tr>
      <w:tr w:rsidR="000810E4" w:rsidRPr="00C84BBD" w14:paraId="67AF0994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1721FBE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Actor</w:t>
            </w:r>
          </w:p>
        </w:tc>
        <w:tc>
          <w:tcPr>
            <w:tcW w:w="1560" w:type="dxa"/>
          </w:tcPr>
          <w:p w14:paraId="32388754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DAC6A0C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2040" w:type="dxa"/>
          </w:tcPr>
          <w:p w14:paraId="1A6D219B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8</w:t>
            </w:r>
          </w:p>
        </w:tc>
      </w:tr>
      <w:tr w:rsidR="000810E4" w:rsidRPr="00C84BBD" w14:paraId="288257A3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10F5D8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Goal</w:t>
            </w:r>
          </w:p>
        </w:tc>
        <w:tc>
          <w:tcPr>
            <w:tcW w:w="1560" w:type="dxa"/>
          </w:tcPr>
          <w:p w14:paraId="05844AC2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F349CDD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2040" w:type="dxa"/>
          </w:tcPr>
          <w:p w14:paraId="6072A073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</w:tr>
      <w:tr w:rsidR="000810E4" w:rsidRPr="00C84BBD" w14:paraId="720647CD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2B68C55C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Resource</w:t>
            </w:r>
          </w:p>
        </w:tc>
        <w:tc>
          <w:tcPr>
            <w:tcW w:w="1560" w:type="dxa"/>
          </w:tcPr>
          <w:p w14:paraId="6D68164A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D2BF3BE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22</w:t>
            </w:r>
          </w:p>
        </w:tc>
        <w:tc>
          <w:tcPr>
            <w:tcW w:w="2040" w:type="dxa"/>
          </w:tcPr>
          <w:p w14:paraId="2A329837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</w:tr>
      <w:tr w:rsidR="000810E4" w:rsidRPr="00C84BBD" w14:paraId="5162D586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5FD6ACC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Event</w:t>
            </w:r>
          </w:p>
        </w:tc>
        <w:tc>
          <w:tcPr>
            <w:tcW w:w="1560" w:type="dxa"/>
          </w:tcPr>
          <w:p w14:paraId="15F70089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FDC34F4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27</w:t>
            </w:r>
          </w:p>
        </w:tc>
        <w:tc>
          <w:tcPr>
            <w:tcW w:w="2040" w:type="dxa"/>
          </w:tcPr>
          <w:p w14:paraId="7DE83C6B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</w:tr>
      <w:tr w:rsidR="000810E4" w:rsidRPr="00C84BBD" w14:paraId="29459467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57A64ADF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Risk</w:t>
            </w:r>
          </w:p>
        </w:tc>
        <w:tc>
          <w:tcPr>
            <w:tcW w:w="1560" w:type="dxa"/>
          </w:tcPr>
          <w:p w14:paraId="21933B02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84B8815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2040" w:type="dxa"/>
          </w:tcPr>
          <w:p w14:paraId="74B044A0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</w:tr>
      <w:tr w:rsidR="000810E4" w:rsidRPr="00C84BBD" w14:paraId="3C667283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6D5B0B0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Constraint</w:t>
            </w:r>
          </w:p>
        </w:tc>
        <w:tc>
          <w:tcPr>
            <w:tcW w:w="1560" w:type="dxa"/>
          </w:tcPr>
          <w:p w14:paraId="58C23287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D1946F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2040" w:type="dxa"/>
          </w:tcPr>
          <w:p w14:paraId="3DC4A7CF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</w:tr>
      <w:tr w:rsidR="000810E4" w:rsidRPr="00C84BBD" w14:paraId="250707A4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4143DBE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Value</w:t>
            </w:r>
          </w:p>
        </w:tc>
        <w:tc>
          <w:tcPr>
            <w:tcW w:w="1560" w:type="dxa"/>
          </w:tcPr>
          <w:p w14:paraId="63586F0E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2A95E20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  <w:tc>
          <w:tcPr>
            <w:tcW w:w="2040" w:type="dxa"/>
          </w:tcPr>
          <w:p w14:paraId="468CDCFF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12</w:t>
            </w:r>
          </w:p>
        </w:tc>
      </w:tr>
      <w:tr w:rsidR="000810E4" w:rsidRPr="00C84BBD" w14:paraId="7EAE4678" w14:textId="77777777" w:rsidTr="00C84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19BCF2BA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Outcome</w:t>
            </w:r>
          </w:p>
        </w:tc>
        <w:tc>
          <w:tcPr>
            <w:tcW w:w="1560" w:type="dxa"/>
          </w:tcPr>
          <w:p w14:paraId="00B87C60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088283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15</w:t>
            </w:r>
          </w:p>
        </w:tc>
        <w:tc>
          <w:tcPr>
            <w:tcW w:w="2040" w:type="dxa"/>
          </w:tcPr>
          <w:p w14:paraId="427ADE48" w14:textId="77777777" w:rsidR="000810E4" w:rsidRPr="00C84BB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color w:val="000000" w:themeColor="text1"/>
                <w:sz w:val="15"/>
                <w:szCs w:val="15"/>
              </w:rPr>
              <w:t>5</w:t>
            </w:r>
          </w:p>
        </w:tc>
      </w:tr>
      <w:tr w:rsidR="000810E4" w:rsidRPr="00C84BBD" w14:paraId="542C2B92" w14:textId="77777777" w:rsidTr="00C84B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00" w:type="dxa"/>
          </w:tcPr>
          <w:p w14:paraId="7ED27362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Total</w:t>
            </w:r>
          </w:p>
        </w:tc>
        <w:tc>
          <w:tcPr>
            <w:tcW w:w="1560" w:type="dxa"/>
          </w:tcPr>
          <w:p w14:paraId="6AA1784D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94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F910BFF" w14:textId="77777777" w:rsidR="000810E4" w:rsidRPr="00C84BBD" w:rsidRDefault="00000000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133</w:t>
            </w:r>
          </w:p>
        </w:tc>
        <w:tc>
          <w:tcPr>
            <w:tcW w:w="2040" w:type="dxa"/>
          </w:tcPr>
          <w:p w14:paraId="0A86104E" w14:textId="77777777" w:rsidR="000810E4" w:rsidRPr="00C84BB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 w:themeColor="text1"/>
                <w:sz w:val="16"/>
                <w:szCs w:val="16"/>
              </w:rPr>
            </w:pPr>
            <w:r w:rsidRPr="00C84BBD">
              <w:rPr>
                <w:rFonts w:ascii="Verdana" w:hAnsi="Verdana"/>
                <w:b/>
                <w:bCs/>
                <w:color w:val="000000" w:themeColor="text1"/>
                <w:sz w:val="15"/>
                <w:szCs w:val="15"/>
              </w:rPr>
              <w:t>81</w:t>
            </w:r>
          </w:p>
        </w:tc>
      </w:tr>
    </w:tbl>
    <w:p w14:paraId="3D905276" w14:textId="77777777" w:rsidR="000810E4" w:rsidRPr="00C84BBD" w:rsidRDefault="00000000" w:rsidP="00C84BBD">
      <w:pPr>
        <w:pStyle w:val="1"/>
        <w:spacing w:before="240" w:after="12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C84BBD">
        <w:rPr>
          <w:rFonts w:ascii="Verdana" w:hAnsi="Verdana"/>
          <w:color w:val="000000" w:themeColor="text1"/>
          <w:sz w:val="24"/>
          <w:szCs w:val="24"/>
        </w:rPr>
        <w:t>Relationship types used</w:t>
      </w:r>
    </w:p>
    <w:p w14:paraId="64B84B36" w14:textId="77777777" w:rsidR="000810E4" w:rsidRPr="00C84BBD" w:rsidRDefault="00000000">
      <w:pPr>
        <w:pStyle w:val="a4"/>
        <w:numPr>
          <w:ilvl w:val="0"/>
          <w:numId w:val="1"/>
        </w:numPr>
        <w:spacing w:after="60"/>
        <w:rPr>
          <w:rFonts w:ascii="Verdana" w:hAnsi="Verdana"/>
          <w:color w:val="000000" w:themeColor="text1"/>
          <w:sz w:val="16"/>
          <w:szCs w:val="16"/>
          <w:lang w:val="en-US"/>
        </w:rPr>
      </w:pPr>
      <w:r w:rsidRPr="00C84BBD">
        <w:rPr>
          <w:rFonts w:ascii="Verdana" w:hAnsi="Verdana"/>
          <w:color w:val="000000" w:themeColor="text1"/>
          <w:sz w:val="16"/>
          <w:szCs w:val="16"/>
          <w:lang w:val="en-US"/>
        </w:rPr>
        <w:t>SAR: PURSUES, REQUIRES, THREATENS, ENABLES, CAUSES, CONFLICTS, CONSTRAINS, MITIGATES, POSSESSES, ACHIEVES, PRIORITIZES, ASSIGNED_TO, SUPPORTS, VIOLATES, DEPLETES.</w:t>
      </w:r>
    </w:p>
    <w:p w14:paraId="0D2A485D" w14:textId="77777777" w:rsidR="000810E4" w:rsidRPr="00C84BBD" w:rsidRDefault="00000000">
      <w:pPr>
        <w:pStyle w:val="a4"/>
        <w:numPr>
          <w:ilvl w:val="0"/>
          <w:numId w:val="1"/>
        </w:numPr>
        <w:spacing w:after="6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color w:val="000000" w:themeColor="text1"/>
          <w:sz w:val="16"/>
          <w:szCs w:val="16"/>
        </w:rPr>
        <w:t>Border Security: PURSUES, REQUIRES, THREATENS, ENABLES, CAUSES, CONFLICTS, CONSTRAINS, MITIGATES, POSSESSES, ACHIEVES, SUPPORTS, VIOLATES, and the domain-specific INFORMS, PRODUCES, EVALUATES.</w:t>
      </w:r>
    </w:p>
    <w:p w14:paraId="2A26C0EC" w14:textId="77777777" w:rsidR="000810E4" w:rsidRPr="00C84BBD" w:rsidRDefault="00000000">
      <w:pPr>
        <w:pStyle w:val="a4"/>
        <w:numPr>
          <w:ilvl w:val="0"/>
          <w:numId w:val="1"/>
        </w:numPr>
        <w:spacing w:after="6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color w:val="000000" w:themeColor="text1"/>
          <w:sz w:val="16"/>
          <w:szCs w:val="16"/>
        </w:rPr>
        <w:t>Crisis Negotiation: PURSUES, REQUIRES, THREATENS, ENABLES, CAUSES, CONFLICTS, CONSTRAINS, MITIGATES, POSSESSES, VIOLATES, and the domain-specific TRADES, CONCEDES, ANCHORS, MEDIATES, REPRESENTS.</w:t>
      </w:r>
    </w:p>
    <w:p w14:paraId="2BC3ECDC" w14:textId="77777777" w:rsidR="000810E4" w:rsidRPr="00C84BBD" w:rsidRDefault="00000000">
      <w:pPr>
        <w:spacing w:after="12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color w:val="000000" w:themeColor="text1"/>
          <w:sz w:val="16"/>
          <w:szCs w:val="16"/>
        </w:rPr>
        <w:t>The core object properties defined in the ontology (pursues, requires, threatens, enables, causes) appear in every graph. Domain-specific relationship types are extensions instantiated during knowledge graph construction (Section 3.2 of the paper) and remain consistent with the ontology's relationship semantics.</w:t>
      </w:r>
    </w:p>
    <w:p w14:paraId="16628692" w14:textId="77777777" w:rsidR="000810E4" w:rsidRPr="00C84BBD" w:rsidRDefault="00000000" w:rsidP="00C84BBD">
      <w:pPr>
        <w:pStyle w:val="1"/>
        <w:spacing w:before="240" w:after="12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C84BBD">
        <w:rPr>
          <w:rFonts w:ascii="Verdana" w:hAnsi="Verdana"/>
          <w:color w:val="000000" w:themeColor="text1"/>
          <w:sz w:val="24"/>
          <w:szCs w:val="24"/>
        </w:rPr>
        <w:t>Observations</w:t>
      </w:r>
    </w:p>
    <w:p w14:paraId="5CD14FED" w14:textId="77777777" w:rsidR="000810E4" w:rsidRPr="00C84BBD" w:rsidRDefault="00000000">
      <w:pPr>
        <w:pStyle w:val="a4"/>
        <w:numPr>
          <w:ilvl w:val="0"/>
          <w:numId w:val="2"/>
        </w:numPr>
        <w:spacing w:after="8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b/>
          <w:bCs/>
          <w:color w:val="000000" w:themeColor="text1"/>
          <w:sz w:val="16"/>
          <w:szCs w:val="16"/>
        </w:rPr>
        <w:lastRenderedPageBreak/>
        <w:t xml:space="preserve">Relationship density varies by domain. </w:t>
      </w:r>
      <w:r w:rsidRPr="00C84BBD">
        <w:rPr>
          <w:rFonts w:ascii="Verdana" w:hAnsi="Verdana"/>
          <w:color w:val="000000" w:themeColor="text1"/>
          <w:sz w:val="16"/>
          <w:szCs w:val="16"/>
        </w:rPr>
        <w:t>SAR and Border Security are relationship-dense (346 and 367 relationships over 94 and 133 nodes; ratios of 3.7 and 2.8), while Crisis Negotiation is relationship-sparse (80 relationships over 81 nodes; ratio of 1.0). This lower density is consistent with the reduced knowledge-graph grounding observed for Crisis Negotiation scenarios in the main evaluation (Section 4.3), and it indicates that the observed grounding gap originates in graph construction rather than in scenario generation.</w:t>
      </w:r>
    </w:p>
    <w:p w14:paraId="64F41C79" w14:textId="77777777" w:rsidR="000810E4" w:rsidRPr="00C84BBD" w:rsidRDefault="00000000">
      <w:pPr>
        <w:pStyle w:val="a4"/>
        <w:numPr>
          <w:ilvl w:val="0"/>
          <w:numId w:val="2"/>
        </w:numPr>
        <w:spacing w:after="8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b/>
          <w:bCs/>
          <w:color w:val="000000" w:themeColor="text1"/>
          <w:sz w:val="16"/>
          <w:szCs w:val="16"/>
        </w:rPr>
        <w:t xml:space="preserve">Identifier scheme differs across graphs. </w:t>
      </w:r>
      <w:r w:rsidRPr="00C84BBD">
        <w:rPr>
          <w:rFonts w:ascii="Verdana" w:hAnsi="Verdana"/>
          <w:color w:val="000000" w:themeColor="text1"/>
          <w:sz w:val="16"/>
          <w:szCs w:val="16"/>
        </w:rPr>
        <w:t>SAR and Border Security carry typed identifiers (actor_id, goal_id, ...) with per-class uniqueness constraints; Crisis Negotiation additionally carries a generic id property alongside the typed identifier. All three declare uniqueness constraints for all eight classes.</w:t>
      </w:r>
    </w:p>
    <w:p w14:paraId="03F544F2" w14:textId="77777777" w:rsidR="000810E4" w:rsidRPr="00C84BBD" w:rsidRDefault="00000000">
      <w:pPr>
        <w:pStyle w:val="a4"/>
        <w:numPr>
          <w:ilvl w:val="0"/>
          <w:numId w:val="2"/>
        </w:numPr>
        <w:spacing w:after="80"/>
        <w:rPr>
          <w:rFonts w:ascii="Verdana" w:hAnsi="Verdana"/>
          <w:color w:val="000000" w:themeColor="text1"/>
          <w:sz w:val="16"/>
          <w:szCs w:val="16"/>
        </w:rPr>
      </w:pPr>
      <w:r w:rsidRPr="00C84BBD">
        <w:rPr>
          <w:rFonts w:ascii="Verdana" w:hAnsi="Verdana"/>
          <w:b/>
          <w:bCs/>
          <w:color w:val="000000" w:themeColor="text1"/>
          <w:sz w:val="16"/>
          <w:szCs w:val="16"/>
        </w:rPr>
        <w:t xml:space="preserve">Outcome coverage is lowest in Crisis Negotiation </w:t>
      </w:r>
      <w:r w:rsidRPr="00C84BBD">
        <w:rPr>
          <w:rFonts w:ascii="Verdana" w:hAnsi="Verdana"/>
          <w:color w:val="000000" w:themeColor="text1"/>
          <w:sz w:val="16"/>
          <w:szCs w:val="16"/>
        </w:rPr>
        <w:t>(5 Outcome nodes versus 10 and 15), consistent with the reduced end-state modeling noted in the scenario evaluation.</w:t>
      </w:r>
    </w:p>
    <w:p w14:paraId="7362BC78" w14:textId="77777777" w:rsidR="000810E4" w:rsidRPr="00C84BBD" w:rsidRDefault="00000000" w:rsidP="00C84BBD">
      <w:pPr>
        <w:pStyle w:val="1"/>
        <w:spacing w:before="240" w:after="120"/>
        <w:jc w:val="center"/>
        <w:rPr>
          <w:rFonts w:ascii="Verdana" w:hAnsi="Verdana"/>
          <w:color w:val="000000" w:themeColor="text1"/>
          <w:sz w:val="24"/>
          <w:szCs w:val="24"/>
        </w:rPr>
      </w:pPr>
      <w:r w:rsidRPr="00C84BBD">
        <w:rPr>
          <w:rFonts w:ascii="Verdana" w:hAnsi="Verdana"/>
          <w:color w:val="000000" w:themeColor="text1"/>
          <w:sz w:val="24"/>
          <w:szCs w:val="24"/>
        </w:rPr>
        <w:t>Method and reproducibility</w:t>
      </w:r>
    </w:p>
    <w:p w14:paraId="2DE54F84" w14:textId="77777777" w:rsidR="000810E4" w:rsidRPr="00C84BBD" w:rsidRDefault="00000000">
      <w:pPr>
        <w:spacing w:after="120"/>
        <w:rPr>
          <w:color w:val="000000" w:themeColor="text1"/>
        </w:rPr>
      </w:pPr>
      <w:r w:rsidRPr="00C84BBD">
        <w:rPr>
          <w:rFonts w:ascii="Verdana" w:hAnsi="Verdana"/>
          <w:color w:val="000000" w:themeColor="text1"/>
          <w:sz w:val="16"/>
          <w:szCs w:val="16"/>
        </w:rPr>
        <w:t>The evaluation script parses each Neo4j Cypher import file, extracts node labels and per-class counts, relationship types and endpoints, and declared constraints, and checks them against the eight ontology classes and the ontology's object properties. It is deliberately lightweight and dependency-free so that reviewers can rerun it directly against the import scripts in each domain folder. Structural well-formedness confirmed here is a necessary condition for the programmatic verification described in Section 3.5.2 of the paper; it does not, by itself, establish domain accuracy</w:t>
      </w:r>
      <w:r w:rsidRPr="00C84BBD">
        <w:rPr>
          <w:color w:val="000000" w:themeColor="text1"/>
        </w:rPr>
        <w:t>.</w:t>
      </w:r>
    </w:p>
    <w:sectPr w:rsidR="000810E4" w:rsidRPr="00C84B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C470E6"/>
    <w:multiLevelType w:val="hybridMultilevel"/>
    <w:tmpl w:val="E92A837A"/>
    <w:lvl w:ilvl="0" w:tplc="62D4CD64">
      <w:start w:val="1"/>
      <w:numFmt w:val="bullet"/>
      <w:lvlText w:val="●"/>
      <w:lvlJc w:val="left"/>
      <w:pPr>
        <w:ind w:left="720" w:hanging="360"/>
      </w:pPr>
    </w:lvl>
    <w:lvl w:ilvl="1" w:tplc="2CB8EA28">
      <w:start w:val="1"/>
      <w:numFmt w:val="bullet"/>
      <w:lvlText w:val="○"/>
      <w:lvlJc w:val="left"/>
      <w:pPr>
        <w:ind w:left="1440" w:hanging="360"/>
      </w:pPr>
    </w:lvl>
    <w:lvl w:ilvl="2" w:tplc="ABF2E098">
      <w:start w:val="1"/>
      <w:numFmt w:val="bullet"/>
      <w:lvlText w:val="■"/>
      <w:lvlJc w:val="left"/>
      <w:pPr>
        <w:ind w:left="2160" w:hanging="360"/>
      </w:pPr>
    </w:lvl>
    <w:lvl w:ilvl="3" w:tplc="CD1C3036">
      <w:start w:val="1"/>
      <w:numFmt w:val="bullet"/>
      <w:lvlText w:val="●"/>
      <w:lvlJc w:val="left"/>
      <w:pPr>
        <w:ind w:left="2880" w:hanging="360"/>
      </w:pPr>
    </w:lvl>
    <w:lvl w:ilvl="4" w:tplc="F30A594E">
      <w:start w:val="1"/>
      <w:numFmt w:val="bullet"/>
      <w:lvlText w:val="○"/>
      <w:lvlJc w:val="left"/>
      <w:pPr>
        <w:ind w:left="3600" w:hanging="360"/>
      </w:pPr>
    </w:lvl>
    <w:lvl w:ilvl="5" w:tplc="60D4FDE6">
      <w:start w:val="1"/>
      <w:numFmt w:val="bullet"/>
      <w:lvlText w:val="■"/>
      <w:lvlJc w:val="left"/>
      <w:pPr>
        <w:ind w:left="4320" w:hanging="360"/>
      </w:pPr>
    </w:lvl>
    <w:lvl w:ilvl="6" w:tplc="1A5CA2EC">
      <w:start w:val="1"/>
      <w:numFmt w:val="bullet"/>
      <w:lvlText w:val="●"/>
      <w:lvlJc w:val="left"/>
      <w:pPr>
        <w:ind w:left="5040" w:hanging="360"/>
      </w:pPr>
    </w:lvl>
    <w:lvl w:ilvl="7" w:tplc="B4A0F81A">
      <w:start w:val="1"/>
      <w:numFmt w:val="bullet"/>
      <w:lvlText w:val="●"/>
      <w:lvlJc w:val="left"/>
      <w:pPr>
        <w:ind w:left="5760" w:hanging="360"/>
      </w:pPr>
    </w:lvl>
    <w:lvl w:ilvl="8" w:tplc="A66C1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00934"/>
    <w:multiLevelType w:val="hybridMultilevel"/>
    <w:tmpl w:val="643821E4"/>
    <w:lvl w:ilvl="0" w:tplc="849A860E">
      <w:start w:val="1"/>
      <w:numFmt w:val="decimal"/>
      <w:lvlText w:val="%1."/>
      <w:lvlJc w:val="left"/>
    </w:lvl>
    <w:lvl w:ilvl="1" w:tplc="6228F280">
      <w:numFmt w:val="decimal"/>
      <w:lvlText w:val=""/>
      <w:lvlJc w:val="left"/>
    </w:lvl>
    <w:lvl w:ilvl="2" w:tplc="D81C217C">
      <w:numFmt w:val="decimal"/>
      <w:lvlText w:val=""/>
      <w:lvlJc w:val="left"/>
    </w:lvl>
    <w:lvl w:ilvl="3" w:tplc="E708A370">
      <w:numFmt w:val="decimal"/>
      <w:lvlText w:val=""/>
      <w:lvlJc w:val="left"/>
    </w:lvl>
    <w:lvl w:ilvl="4" w:tplc="A64AE8AA">
      <w:numFmt w:val="decimal"/>
      <w:lvlText w:val=""/>
      <w:lvlJc w:val="left"/>
    </w:lvl>
    <w:lvl w:ilvl="5" w:tplc="80A0F0A4">
      <w:numFmt w:val="decimal"/>
      <w:lvlText w:val=""/>
      <w:lvlJc w:val="left"/>
    </w:lvl>
    <w:lvl w:ilvl="6" w:tplc="8AAC6CD0">
      <w:numFmt w:val="decimal"/>
      <w:lvlText w:val=""/>
      <w:lvlJc w:val="left"/>
    </w:lvl>
    <w:lvl w:ilvl="7" w:tplc="FC18C230">
      <w:numFmt w:val="decimal"/>
      <w:lvlText w:val=""/>
      <w:lvlJc w:val="left"/>
    </w:lvl>
    <w:lvl w:ilvl="8" w:tplc="32A2FEC6">
      <w:numFmt w:val="decimal"/>
      <w:lvlText w:val=""/>
      <w:lvlJc w:val="left"/>
    </w:lvl>
  </w:abstractNum>
  <w:num w:numId="1" w16cid:durableId="6759505">
    <w:abstractNumId w:val="0"/>
    <w:lvlOverride w:ilvl="0">
      <w:startOverride w:val="1"/>
    </w:lvlOverride>
  </w:num>
  <w:num w:numId="2" w16cid:durableId="1096638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0E4"/>
    <w:rsid w:val="000810E4"/>
    <w:rsid w:val="005D6CEE"/>
    <w:rsid w:val="00C8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9DA741"/>
  <w15:docId w15:val="{AF0B96C6-E250-D844-8B78-B867DE55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  <w:style w:type="table" w:styleId="2-1">
    <w:name w:val="List Table 2 Accent 1"/>
    <w:basedOn w:val="a1"/>
    <w:uiPriority w:val="47"/>
    <w:rsid w:val="00C84BBD"/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609</Words>
  <Characters>3819</Characters>
  <Application>Microsoft Office Word</Application>
  <DocSecurity>0</DocSecurity>
  <Lines>127</Lines>
  <Paragraphs>110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Dimitris Doumanas</cp:lastModifiedBy>
  <cp:revision>2</cp:revision>
  <dcterms:created xsi:type="dcterms:W3CDTF">2026-07-18T18:23:00Z</dcterms:created>
  <dcterms:modified xsi:type="dcterms:W3CDTF">2026-07-18T18:25:00Z</dcterms:modified>
</cp:coreProperties>
</file>