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4CA8C81" w14:textId="61DF4606" w:rsidR="00F540A6" w:rsidRPr="002F5C08" w:rsidRDefault="00C653AC">
      <w:pPr>
        <w:pStyle w:val="Text"/>
        <w:ind w:firstLine="0"/>
        <w:rPr>
          <w:sz w:val="2"/>
          <w:szCs w:val="18"/>
        </w:rPr>
      </w:pPr>
      <w:r w:rsidRPr="002F5C08">
        <w:rPr>
          <w:sz w:val="2"/>
          <w:szCs w:val="18"/>
        </w:rPr>
        <w:t xml:space="preserve">  </w:t>
      </w:r>
      <w:r w:rsidR="00F540A6" w:rsidRPr="002F5C08">
        <w:rPr>
          <w:sz w:val="2"/>
          <w:szCs w:val="18"/>
        </w:rPr>
        <w:footnoteReference w:customMarkFollows="1" w:id="1"/>
        <w:sym w:font="Symbol" w:char="F020"/>
      </w:r>
    </w:p>
    <w:p w14:paraId="6066C455" w14:textId="77777777" w:rsidR="00E77BB1" w:rsidRDefault="00E77BB1" w:rsidP="00E77BB1">
      <w:pPr>
        <w:pStyle w:val="Title"/>
        <w:framePr w:wrap="notBeside"/>
        <w:spacing w:before="0"/>
      </w:pPr>
      <w:r>
        <w:t xml:space="preserve">Stats 415 Final Project: </w:t>
      </w:r>
    </w:p>
    <w:p w14:paraId="497D0A67" w14:textId="6186DDE6" w:rsidR="00F540A6" w:rsidRPr="00E77BB1" w:rsidRDefault="003C70DC" w:rsidP="00E77BB1">
      <w:pPr>
        <w:pStyle w:val="Title"/>
        <w:framePr w:wrap="notBeside"/>
        <w:spacing w:before="0"/>
        <w:rPr>
          <w:i/>
        </w:rPr>
      </w:pPr>
      <w:r w:rsidRPr="00E77BB1">
        <w:rPr>
          <w:i/>
        </w:rPr>
        <w:t>Modeling NBA Win Probability Using Historical Data</w:t>
      </w:r>
    </w:p>
    <w:p w14:paraId="5D04ED94" w14:textId="3416B669" w:rsidR="00F540A6" w:rsidRPr="002F5C08" w:rsidRDefault="003C70DC">
      <w:pPr>
        <w:pStyle w:val="Authors"/>
        <w:framePr w:wrap="notBeside"/>
      </w:pPr>
      <w:r w:rsidRPr="002F5C08">
        <w:t xml:space="preserve">Christopher </w:t>
      </w:r>
      <w:proofErr w:type="spellStart"/>
      <w:r w:rsidRPr="002F5C08">
        <w:t>Lanctot</w:t>
      </w:r>
      <w:proofErr w:type="spellEnd"/>
      <w:r w:rsidRPr="002F5C08">
        <w:t xml:space="preserve">, Jimmy </w:t>
      </w:r>
      <w:proofErr w:type="spellStart"/>
      <w:r w:rsidRPr="002F5C08">
        <w:t>Miron</w:t>
      </w:r>
      <w:proofErr w:type="spellEnd"/>
      <w:r w:rsidRPr="002F5C08">
        <w:t xml:space="preserve">, </w:t>
      </w:r>
      <w:proofErr w:type="spellStart"/>
      <w:r w:rsidRPr="002F5C08">
        <w:t>Dimitry</w:t>
      </w:r>
      <w:proofErr w:type="spellEnd"/>
      <w:r w:rsidRPr="002F5C08">
        <w:t xml:space="preserve"> </w:t>
      </w:r>
      <w:proofErr w:type="spellStart"/>
      <w:r w:rsidRPr="002F5C08">
        <w:t>Slavin</w:t>
      </w:r>
      <w:proofErr w:type="spellEnd"/>
      <w:r w:rsidRPr="002F5C08">
        <w:t xml:space="preserve"> </w:t>
      </w:r>
    </w:p>
    <w:p w14:paraId="0D0EC1D7" w14:textId="7DB31B55" w:rsidR="00D10D6E" w:rsidRPr="002F5C08" w:rsidRDefault="00F540A6" w:rsidP="00F15787">
      <w:pPr>
        <w:pStyle w:val="Abstract"/>
        <w:rPr>
          <w:sz w:val="20"/>
          <w:szCs w:val="20"/>
        </w:rPr>
      </w:pPr>
      <w:r w:rsidRPr="002F5C08">
        <w:rPr>
          <w:i/>
          <w:iCs/>
          <w:sz w:val="20"/>
          <w:szCs w:val="20"/>
        </w:rPr>
        <w:t>Abstract</w:t>
      </w:r>
      <w:r w:rsidRPr="002F5C08">
        <w:rPr>
          <w:sz w:val="20"/>
          <w:szCs w:val="20"/>
        </w:rPr>
        <w:t>—</w:t>
      </w:r>
      <w:r w:rsidR="004507EF" w:rsidRPr="002F5C08">
        <w:rPr>
          <w:sz w:val="20"/>
          <w:szCs w:val="20"/>
        </w:rPr>
        <w:t xml:space="preserve"> This </w:t>
      </w:r>
      <w:r w:rsidR="00803C1E" w:rsidRPr="002F5C08">
        <w:rPr>
          <w:sz w:val="20"/>
          <w:szCs w:val="20"/>
        </w:rPr>
        <w:t>paper addresses</w:t>
      </w:r>
      <w:r w:rsidR="00242577" w:rsidRPr="002F5C08">
        <w:rPr>
          <w:sz w:val="20"/>
          <w:szCs w:val="20"/>
        </w:rPr>
        <w:t xml:space="preserve"> modeling</w:t>
      </w:r>
      <w:r w:rsidR="00A868EE" w:rsidRPr="002F5C08">
        <w:rPr>
          <w:sz w:val="20"/>
          <w:szCs w:val="20"/>
        </w:rPr>
        <w:t xml:space="preserve"> and predicting</w:t>
      </w:r>
      <w:r w:rsidR="00557259" w:rsidRPr="002F5C08">
        <w:rPr>
          <w:sz w:val="20"/>
          <w:szCs w:val="20"/>
        </w:rPr>
        <w:t xml:space="preserve"> </w:t>
      </w:r>
      <w:r w:rsidR="003C70DC" w:rsidRPr="002F5C08">
        <w:rPr>
          <w:sz w:val="20"/>
          <w:szCs w:val="20"/>
        </w:rPr>
        <w:t>NBA teams’ win pro</w:t>
      </w:r>
      <w:r w:rsidR="00242577" w:rsidRPr="002F5C08">
        <w:rPr>
          <w:sz w:val="20"/>
          <w:szCs w:val="20"/>
        </w:rPr>
        <w:t>ba</w:t>
      </w:r>
      <w:r w:rsidR="003C70DC" w:rsidRPr="002F5C08">
        <w:rPr>
          <w:sz w:val="20"/>
          <w:szCs w:val="20"/>
        </w:rPr>
        <w:t>bility based on past game statistics</w:t>
      </w:r>
      <w:r w:rsidR="009B6B1B" w:rsidRPr="002F5C08">
        <w:rPr>
          <w:sz w:val="20"/>
          <w:szCs w:val="20"/>
        </w:rPr>
        <w:t xml:space="preserve">. </w:t>
      </w:r>
      <w:r w:rsidR="00803C1E" w:rsidRPr="002F5C08">
        <w:rPr>
          <w:sz w:val="20"/>
          <w:szCs w:val="20"/>
        </w:rPr>
        <w:t>A scraper written in Python wa</w:t>
      </w:r>
      <w:r w:rsidR="003C70DC" w:rsidRPr="002F5C08">
        <w:rPr>
          <w:sz w:val="20"/>
          <w:szCs w:val="20"/>
        </w:rPr>
        <w:t>s used t</w:t>
      </w:r>
      <w:r w:rsidR="00D10D6E" w:rsidRPr="002F5C08">
        <w:rPr>
          <w:sz w:val="20"/>
          <w:szCs w:val="20"/>
        </w:rPr>
        <w:t>o crawl ESPN.com to collect team and player</w:t>
      </w:r>
      <w:r w:rsidR="003C70DC" w:rsidRPr="002F5C08">
        <w:rPr>
          <w:sz w:val="20"/>
          <w:szCs w:val="20"/>
        </w:rPr>
        <w:t xml:space="preserve"> statistics</w:t>
      </w:r>
      <w:r w:rsidR="00D10D6E" w:rsidRPr="002F5C08">
        <w:rPr>
          <w:sz w:val="20"/>
          <w:szCs w:val="20"/>
        </w:rPr>
        <w:t xml:space="preserve"> into a dataset</w:t>
      </w:r>
      <w:r w:rsidR="003C70DC" w:rsidRPr="002F5C08">
        <w:rPr>
          <w:sz w:val="20"/>
          <w:szCs w:val="20"/>
        </w:rPr>
        <w:t>.</w:t>
      </w:r>
      <w:r w:rsidR="00803C1E" w:rsidRPr="002F5C08">
        <w:rPr>
          <w:sz w:val="20"/>
          <w:szCs w:val="20"/>
        </w:rPr>
        <w:t xml:space="preserve"> This dataset wa</w:t>
      </w:r>
      <w:r w:rsidR="00F15787" w:rsidRPr="002F5C08">
        <w:rPr>
          <w:sz w:val="20"/>
          <w:szCs w:val="20"/>
        </w:rPr>
        <w:t>s</w:t>
      </w:r>
      <w:r w:rsidR="00D64FE3" w:rsidRPr="002F5C08">
        <w:rPr>
          <w:sz w:val="20"/>
          <w:szCs w:val="20"/>
        </w:rPr>
        <w:t xml:space="preserve"> then cleaned and transformed</w:t>
      </w:r>
      <w:r w:rsidR="00D10D6E" w:rsidRPr="002F5C08">
        <w:rPr>
          <w:sz w:val="20"/>
          <w:szCs w:val="20"/>
        </w:rPr>
        <w:t xml:space="preserve"> to generate metr</w:t>
      </w:r>
      <w:r w:rsidR="00803C1E" w:rsidRPr="002F5C08">
        <w:rPr>
          <w:sz w:val="20"/>
          <w:szCs w:val="20"/>
        </w:rPr>
        <w:t>ics whose moving averages serve</w:t>
      </w:r>
      <w:r w:rsidR="00D10D6E" w:rsidRPr="002F5C08">
        <w:rPr>
          <w:sz w:val="20"/>
          <w:szCs w:val="20"/>
        </w:rPr>
        <w:t xml:space="preserve"> </w:t>
      </w:r>
      <w:r w:rsidR="00D64FE3" w:rsidRPr="002F5C08">
        <w:rPr>
          <w:sz w:val="20"/>
          <w:szCs w:val="20"/>
        </w:rPr>
        <w:t xml:space="preserve">as </w:t>
      </w:r>
      <w:r w:rsidR="009B6B1B" w:rsidRPr="002F5C08">
        <w:rPr>
          <w:sz w:val="20"/>
          <w:szCs w:val="20"/>
        </w:rPr>
        <w:t>predictors in</w:t>
      </w:r>
      <w:r w:rsidR="00F15787" w:rsidRPr="002F5C08">
        <w:rPr>
          <w:sz w:val="20"/>
          <w:szCs w:val="20"/>
        </w:rPr>
        <w:t xml:space="preserve"> various logistic regression models</w:t>
      </w:r>
      <w:r w:rsidR="009B6B1B" w:rsidRPr="002F5C08">
        <w:rPr>
          <w:sz w:val="20"/>
          <w:szCs w:val="20"/>
        </w:rPr>
        <w:t xml:space="preserve">. </w:t>
      </w:r>
    </w:p>
    <w:p w14:paraId="211B30A4" w14:textId="0F983025" w:rsidR="00F540A6" w:rsidRPr="002F5C08" w:rsidRDefault="005C25D9" w:rsidP="00F15787">
      <w:pPr>
        <w:pStyle w:val="Abstract"/>
        <w:rPr>
          <w:sz w:val="20"/>
          <w:szCs w:val="20"/>
        </w:rPr>
      </w:pPr>
      <w:r>
        <w:rPr>
          <w:sz w:val="20"/>
          <w:szCs w:val="20"/>
        </w:rPr>
        <w:t xml:space="preserve">First, </w:t>
      </w:r>
      <w:r w:rsidR="009B6B1B" w:rsidRPr="002F5C08">
        <w:rPr>
          <w:sz w:val="20"/>
          <w:szCs w:val="20"/>
        </w:rPr>
        <w:t>single variable log</w:t>
      </w:r>
      <w:r>
        <w:rPr>
          <w:sz w:val="20"/>
          <w:szCs w:val="20"/>
        </w:rPr>
        <w:t>istic regression analysis is applied</w:t>
      </w:r>
      <w:r w:rsidR="009B6B1B" w:rsidRPr="002F5C08">
        <w:rPr>
          <w:sz w:val="20"/>
          <w:szCs w:val="20"/>
        </w:rPr>
        <w:t xml:space="preserve"> in order to identify each metric’s effect on win prob</w:t>
      </w:r>
      <w:r w:rsidR="00F15787" w:rsidRPr="002F5C08">
        <w:rPr>
          <w:sz w:val="20"/>
          <w:szCs w:val="20"/>
        </w:rPr>
        <w:t>ability.  The coefficients</w:t>
      </w:r>
      <w:r w:rsidR="00E77BB1">
        <w:rPr>
          <w:sz w:val="20"/>
          <w:szCs w:val="20"/>
        </w:rPr>
        <w:t>’ magnitude</w:t>
      </w:r>
      <w:r w:rsidR="00BA0109">
        <w:rPr>
          <w:sz w:val="20"/>
          <w:szCs w:val="20"/>
        </w:rPr>
        <w:t xml:space="preserve"> from</w:t>
      </w:r>
      <w:r w:rsidR="00F15787" w:rsidRPr="002F5C08">
        <w:rPr>
          <w:sz w:val="20"/>
          <w:szCs w:val="20"/>
        </w:rPr>
        <w:t xml:space="preserve"> single variable logistic regressi</w:t>
      </w:r>
      <w:r w:rsidR="00BA0109">
        <w:rPr>
          <w:sz w:val="20"/>
          <w:szCs w:val="20"/>
        </w:rPr>
        <w:t>on are</w:t>
      </w:r>
      <w:r w:rsidR="00F15787" w:rsidRPr="002F5C08">
        <w:rPr>
          <w:sz w:val="20"/>
          <w:szCs w:val="20"/>
        </w:rPr>
        <w:t xml:space="preserve"> then compared in order to determine</w:t>
      </w:r>
      <w:r w:rsidR="00A37260">
        <w:rPr>
          <w:sz w:val="20"/>
          <w:szCs w:val="20"/>
        </w:rPr>
        <w:t xml:space="preserve"> the</w:t>
      </w:r>
      <w:r w:rsidR="00F15787" w:rsidRPr="002F5C08">
        <w:rPr>
          <w:sz w:val="20"/>
          <w:szCs w:val="20"/>
        </w:rPr>
        <w:t xml:space="preserve"> metrics’</w:t>
      </w:r>
      <w:r w:rsidR="00D10D6E" w:rsidRPr="002F5C08">
        <w:rPr>
          <w:sz w:val="20"/>
          <w:szCs w:val="20"/>
        </w:rPr>
        <w:t xml:space="preserve"> relative importance</w:t>
      </w:r>
      <w:r w:rsidR="00F15787" w:rsidRPr="002F5C08">
        <w:rPr>
          <w:sz w:val="20"/>
          <w:szCs w:val="20"/>
        </w:rPr>
        <w:t>. Then, multivariate logistic regression analy</w:t>
      </w:r>
      <w:r w:rsidR="00D10D6E" w:rsidRPr="002F5C08">
        <w:rPr>
          <w:sz w:val="20"/>
          <w:szCs w:val="20"/>
        </w:rPr>
        <w:t>sis is employed</w:t>
      </w:r>
      <w:r w:rsidR="00F15787" w:rsidRPr="002F5C08">
        <w:rPr>
          <w:sz w:val="20"/>
          <w:szCs w:val="20"/>
        </w:rPr>
        <w:t xml:space="preserve"> to create a mathematical model that is capable of predicting a team’s win probability</w:t>
      </w:r>
      <w:r w:rsidR="00655FFF" w:rsidRPr="002F5C08">
        <w:rPr>
          <w:sz w:val="20"/>
          <w:szCs w:val="20"/>
        </w:rPr>
        <w:t xml:space="preserve"> based on</w:t>
      </w:r>
      <w:r w:rsidR="00D10D6E" w:rsidRPr="002F5C08">
        <w:rPr>
          <w:sz w:val="20"/>
          <w:szCs w:val="20"/>
        </w:rPr>
        <w:t xml:space="preserve"> the moving average of</w:t>
      </w:r>
      <w:r w:rsidR="00655FFF" w:rsidRPr="002F5C08">
        <w:rPr>
          <w:sz w:val="20"/>
          <w:szCs w:val="20"/>
        </w:rPr>
        <w:t xml:space="preserve"> </w:t>
      </w:r>
      <w:r w:rsidR="00CB5778">
        <w:rPr>
          <w:sz w:val="20"/>
          <w:szCs w:val="20"/>
        </w:rPr>
        <w:t>five</w:t>
      </w:r>
      <w:r w:rsidR="00F15787" w:rsidRPr="002F5C08">
        <w:rPr>
          <w:sz w:val="20"/>
          <w:szCs w:val="20"/>
        </w:rPr>
        <w:t xml:space="preserve"> metrics</w:t>
      </w:r>
      <w:r w:rsidR="00803C1E" w:rsidRPr="002F5C08">
        <w:rPr>
          <w:sz w:val="20"/>
          <w:szCs w:val="20"/>
        </w:rPr>
        <w:t xml:space="preserve">— points </w:t>
      </w:r>
      <w:r>
        <w:rPr>
          <w:sz w:val="20"/>
          <w:szCs w:val="20"/>
        </w:rPr>
        <w:t>differential</w:t>
      </w:r>
      <w:r w:rsidR="009B6B1B" w:rsidRPr="002F5C08">
        <w:rPr>
          <w:sz w:val="20"/>
          <w:szCs w:val="20"/>
        </w:rPr>
        <w:t>, defensive</w:t>
      </w:r>
      <w:r>
        <w:rPr>
          <w:sz w:val="20"/>
          <w:szCs w:val="20"/>
        </w:rPr>
        <w:t xml:space="preserve"> efficiency, </w:t>
      </w:r>
      <w:r w:rsidR="009B6B1B" w:rsidRPr="002F5C08">
        <w:rPr>
          <w:sz w:val="20"/>
          <w:szCs w:val="20"/>
        </w:rPr>
        <w:t>offensive efficiency, adjusted field goal percentage,</w:t>
      </w:r>
      <w:r>
        <w:rPr>
          <w:sz w:val="20"/>
          <w:szCs w:val="20"/>
        </w:rPr>
        <w:t xml:space="preserve"> and assist ratio</w:t>
      </w:r>
      <w:r w:rsidR="00F15787" w:rsidRPr="002F5C08">
        <w:rPr>
          <w:sz w:val="20"/>
          <w:szCs w:val="20"/>
        </w:rPr>
        <w:t xml:space="preserve">. </w:t>
      </w:r>
      <w:r w:rsidR="00D10D6E" w:rsidRPr="002F5C08">
        <w:rPr>
          <w:sz w:val="20"/>
          <w:szCs w:val="20"/>
        </w:rPr>
        <w:t xml:space="preserve">Finally, </w:t>
      </w:r>
      <w:r w:rsidR="00655FFF" w:rsidRPr="002F5C08">
        <w:rPr>
          <w:sz w:val="20"/>
          <w:szCs w:val="20"/>
        </w:rPr>
        <w:t xml:space="preserve">principle component analysis is </w:t>
      </w:r>
      <w:r w:rsidR="00D10D6E" w:rsidRPr="002F5C08">
        <w:rPr>
          <w:sz w:val="20"/>
          <w:szCs w:val="20"/>
        </w:rPr>
        <w:t>used</w:t>
      </w:r>
      <w:r w:rsidR="00C00547">
        <w:rPr>
          <w:sz w:val="20"/>
          <w:szCs w:val="20"/>
        </w:rPr>
        <w:t xml:space="preserve"> in combination with multivariate logistic regression. Surprisingly, PCA did not improve the accuracy of prediction</w:t>
      </w:r>
      <w:r w:rsidR="00D06833">
        <w:rPr>
          <w:sz w:val="20"/>
          <w:szCs w:val="20"/>
        </w:rPr>
        <w:t xml:space="preserve"> from the initially achieved 67</w:t>
      </w:r>
      <w:r w:rsidR="00E77BB1">
        <w:rPr>
          <w:sz w:val="20"/>
          <w:szCs w:val="20"/>
        </w:rPr>
        <w:t>%</w:t>
      </w:r>
      <w:r w:rsidR="00C00547">
        <w:rPr>
          <w:sz w:val="20"/>
          <w:szCs w:val="20"/>
        </w:rPr>
        <w:t xml:space="preserve">. </w:t>
      </w:r>
    </w:p>
    <w:p w14:paraId="2B25D04E" w14:textId="77777777" w:rsidR="00F540A6" w:rsidRPr="00DF7386" w:rsidRDefault="00F540A6">
      <w:pPr>
        <w:pStyle w:val="Heading1"/>
        <w:rPr>
          <w:sz w:val="22"/>
          <w:szCs w:val="22"/>
        </w:rPr>
      </w:pPr>
      <w:r w:rsidRPr="00DF7386">
        <w:rPr>
          <w:sz w:val="22"/>
          <w:szCs w:val="22"/>
        </w:rPr>
        <w:t>INTRODUCTION</w:t>
      </w:r>
    </w:p>
    <w:p w14:paraId="64B51A2C" w14:textId="223E3B1D" w:rsidR="00F540A6" w:rsidRPr="005C25D9" w:rsidRDefault="003C70DC">
      <w:pPr>
        <w:pStyle w:val="Text"/>
        <w:keepNext/>
        <w:framePr w:dropCap="drop" w:lines="2" w:wrap="auto" w:vAnchor="text" w:hAnchor="text"/>
        <w:spacing w:line="480" w:lineRule="exact"/>
        <w:ind w:firstLine="0"/>
        <w:rPr>
          <w:smallCaps/>
          <w:position w:val="-3"/>
          <w:sz w:val="56"/>
          <w:szCs w:val="56"/>
        </w:rPr>
      </w:pPr>
      <w:r w:rsidRPr="005C25D9">
        <w:rPr>
          <w:position w:val="-3"/>
          <w:sz w:val="56"/>
          <w:szCs w:val="56"/>
        </w:rPr>
        <w:t>S</w:t>
      </w:r>
    </w:p>
    <w:p w14:paraId="2A24C612" w14:textId="7A7F85D0" w:rsidR="003C70DC" w:rsidRPr="00DF7386" w:rsidRDefault="003C70DC" w:rsidP="003C70DC">
      <w:pPr>
        <w:pStyle w:val="NoSpacing"/>
        <w:rPr>
          <w:rFonts w:ascii="Times New Roman" w:hAnsi="Times New Roman" w:cs="Times New Roman"/>
        </w:rPr>
      </w:pPr>
      <w:r w:rsidRPr="00DF7386">
        <w:rPr>
          <w:rFonts w:ascii="Times New Roman" w:hAnsi="Times New Roman" w:cs="Times New Roman"/>
        </w:rPr>
        <w:t xml:space="preserve">ince the 1980s, the National Basketball Association (NBA) has cemented itself as a major player in the world of professional sports. With the growth of cable television, games are watched by millions of fans both domestically and internationally. </w:t>
      </w:r>
    </w:p>
    <w:p w14:paraId="5FCF725C" w14:textId="77777777" w:rsidR="003C70DC" w:rsidRPr="00DF7386" w:rsidRDefault="003C70DC" w:rsidP="003C70DC">
      <w:pPr>
        <w:pStyle w:val="NoSpacing"/>
        <w:rPr>
          <w:rFonts w:ascii="Times New Roman" w:hAnsi="Times New Roman" w:cs="Times New Roman"/>
        </w:rPr>
      </w:pPr>
    </w:p>
    <w:p w14:paraId="3AA788EA" w14:textId="650D339F" w:rsidR="007C16C8" w:rsidRPr="00DF7386" w:rsidRDefault="007C16C8" w:rsidP="00C52FD6">
      <w:pPr>
        <w:pStyle w:val="NoSpacing"/>
        <w:ind w:firstLine="202"/>
        <w:rPr>
          <w:rFonts w:ascii="Times New Roman" w:hAnsi="Times New Roman" w:cs="Times New Roman"/>
        </w:rPr>
      </w:pPr>
      <w:r w:rsidRPr="00DF7386">
        <w:rPr>
          <w:rFonts w:ascii="Times New Roman" w:hAnsi="Times New Roman" w:cs="Times New Roman"/>
        </w:rPr>
        <w:t>Furthermore, w</w:t>
      </w:r>
      <w:r w:rsidR="00803C1E" w:rsidRPr="00DF7386">
        <w:rPr>
          <w:rFonts w:ascii="Times New Roman" w:hAnsi="Times New Roman" w:cs="Times New Roman"/>
        </w:rPr>
        <w:t xml:space="preserve">ith 30 teams each playing 82 games per season, professional basketball </w:t>
      </w:r>
      <w:r w:rsidRPr="00DF7386">
        <w:rPr>
          <w:rFonts w:ascii="Times New Roman" w:hAnsi="Times New Roman" w:cs="Times New Roman"/>
        </w:rPr>
        <w:t xml:space="preserve">has </w:t>
      </w:r>
      <w:r w:rsidR="00803C1E" w:rsidRPr="00DF7386">
        <w:rPr>
          <w:rFonts w:ascii="Times New Roman" w:hAnsi="Times New Roman" w:cs="Times New Roman"/>
        </w:rPr>
        <w:t xml:space="preserve">become </w:t>
      </w:r>
      <w:r w:rsidR="003C70DC" w:rsidRPr="00DF7386">
        <w:rPr>
          <w:rFonts w:ascii="Times New Roman" w:hAnsi="Times New Roman" w:cs="Times New Roman"/>
        </w:rPr>
        <w:t>one of the most common avenues for sports’ gamblers to place bets.</w:t>
      </w:r>
      <w:r w:rsidRPr="00DF7386">
        <w:rPr>
          <w:rFonts w:ascii="Times New Roman" w:hAnsi="Times New Roman" w:cs="Times New Roman"/>
        </w:rPr>
        <w:t xml:space="preserve"> </w:t>
      </w:r>
      <w:r w:rsidR="00026C06" w:rsidRPr="00DF7386">
        <w:rPr>
          <w:rFonts w:ascii="Times New Roman" w:hAnsi="Times New Roman" w:cs="Times New Roman"/>
        </w:rPr>
        <w:t xml:space="preserve">Professionals with years of experience and a strong understanding of </w:t>
      </w:r>
      <w:r w:rsidR="00187265" w:rsidRPr="00DF7386">
        <w:rPr>
          <w:rFonts w:ascii="Times New Roman" w:hAnsi="Times New Roman" w:cs="Times New Roman"/>
        </w:rPr>
        <w:t>the sport</w:t>
      </w:r>
      <w:r w:rsidR="00026C06" w:rsidRPr="00DF7386">
        <w:rPr>
          <w:rFonts w:ascii="Times New Roman" w:hAnsi="Times New Roman" w:cs="Times New Roman"/>
        </w:rPr>
        <w:t xml:space="preserve"> generate gambling odds for each game, which can </w:t>
      </w:r>
      <w:r w:rsidR="00187265" w:rsidRPr="00DF7386">
        <w:rPr>
          <w:rFonts w:ascii="Times New Roman" w:hAnsi="Times New Roman" w:cs="Times New Roman"/>
        </w:rPr>
        <w:t>then be bet on through online gambling houses or casinos. Many die-hard basketball fans with good instincts have</w:t>
      </w:r>
      <w:r w:rsidR="00C00547">
        <w:rPr>
          <w:rFonts w:ascii="Times New Roman" w:hAnsi="Times New Roman" w:cs="Times New Roman"/>
        </w:rPr>
        <w:t xml:space="preserve"> profited from betting against these odds. </w:t>
      </w:r>
      <w:r w:rsidR="00187265" w:rsidRPr="00DF7386">
        <w:rPr>
          <w:rFonts w:ascii="Times New Roman" w:hAnsi="Times New Roman" w:cs="Times New Roman"/>
        </w:rPr>
        <w:t xml:space="preserve">But how much does instinct </w:t>
      </w:r>
      <w:r w:rsidR="00187265" w:rsidRPr="00DF7386">
        <w:rPr>
          <w:rFonts w:ascii="Times New Roman" w:hAnsi="Times New Roman" w:cs="Times New Roman"/>
          <w:i/>
        </w:rPr>
        <w:t>really</w:t>
      </w:r>
      <w:r w:rsidR="00187265" w:rsidRPr="00DF7386">
        <w:rPr>
          <w:rFonts w:ascii="Times New Roman" w:hAnsi="Times New Roman" w:cs="Times New Roman"/>
        </w:rPr>
        <w:t xml:space="preserve"> have to do with it?</w:t>
      </w:r>
    </w:p>
    <w:p w14:paraId="06E8A957" w14:textId="77777777" w:rsidR="00C00547" w:rsidRDefault="00C00547" w:rsidP="00D006D8">
      <w:pPr>
        <w:pStyle w:val="NoSpacing"/>
        <w:rPr>
          <w:rFonts w:ascii="Times New Roman" w:hAnsi="Times New Roman" w:cs="Times New Roman"/>
        </w:rPr>
      </w:pPr>
    </w:p>
    <w:p w14:paraId="0C6102BA" w14:textId="4DB99D8F" w:rsidR="00D006D8" w:rsidRPr="00DF7386" w:rsidRDefault="003C70DC" w:rsidP="00C52FD6">
      <w:pPr>
        <w:pStyle w:val="NoSpacing"/>
        <w:ind w:firstLine="202"/>
        <w:rPr>
          <w:rFonts w:ascii="Times New Roman" w:hAnsi="Times New Roman" w:cs="Times New Roman"/>
        </w:rPr>
      </w:pPr>
      <w:r w:rsidRPr="00DF7386">
        <w:rPr>
          <w:rFonts w:ascii="Times New Roman" w:hAnsi="Times New Roman" w:cs="Times New Roman"/>
        </w:rPr>
        <w:t>In this</w:t>
      </w:r>
      <w:r w:rsidR="00187265" w:rsidRPr="00DF7386">
        <w:rPr>
          <w:rFonts w:ascii="Times New Roman" w:hAnsi="Times New Roman" w:cs="Times New Roman"/>
        </w:rPr>
        <w:t xml:space="preserve"> report, we will show that even with relatively little experience watching and analyzing basketball, </w:t>
      </w:r>
      <w:r w:rsidR="00C52FD6">
        <w:rPr>
          <w:rFonts w:ascii="Times New Roman" w:hAnsi="Times New Roman" w:cs="Times New Roman"/>
        </w:rPr>
        <w:t>statistical learning methods</w:t>
      </w:r>
      <w:r w:rsidRPr="00DF7386">
        <w:rPr>
          <w:rFonts w:ascii="Times New Roman" w:hAnsi="Times New Roman" w:cs="Times New Roman"/>
        </w:rPr>
        <w:t xml:space="preserve"> can be used to </w:t>
      </w:r>
      <w:r w:rsidR="00D006D8" w:rsidRPr="00DF7386">
        <w:rPr>
          <w:rFonts w:ascii="Times New Roman" w:hAnsi="Times New Roman" w:cs="Times New Roman"/>
        </w:rPr>
        <w:t xml:space="preserve">systematically </w:t>
      </w:r>
      <w:r w:rsidRPr="00DF7386">
        <w:rPr>
          <w:rFonts w:ascii="Times New Roman" w:hAnsi="Times New Roman" w:cs="Times New Roman"/>
        </w:rPr>
        <w:t>predict</w:t>
      </w:r>
      <w:r w:rsidR="00D006D8" w:rsidRPr="00DF7386">
        <w:rPr>
          <w:rFonts w:ascii="Times New Roman" w:hAnsi="Times New Roman" w:cs="Times New Roman"/>
        </w:rPr>
        <w:t xml:space="preserve"> the</w:t>
      </w:r>
      <w:r w:rsidR="00C52FD6">
        <w:rPr>
          <w:rFonts w:ascii="Times New Roman" w:hAnsi="Times New Roman" w:cs="Times New Roman"/>
        </w:rPr>
        <w:t xml:space="preserve"> outcome</w:t>
      </w:r>
      <w:r w:rsidRPr="00DF7386">
        <w:rPr>
          <w:rFonts w:ascii="Times New Roman" w:hAnsi="Times New Roman" w:cs="Times New Roman"/>
        </w:rPr>
        <w:t xml:space="preserve"> of games</w:t>
      </w:r>
      <w:r w:rsidR="00D006D8" w:rsidRPr="00DF7386">
        <w:rPr>
          <w:rFonts w:ascii="Times New Roman" w:hAnsi="Times New Roman" w:cs="Times New Roman"/>
        </w:rPr>
        <w:t xml:space="preserve">. </w:t>
      </w:r>
    </w:p>
    <w:p w14:paraId="54790910" w14:textId="77777777" w:rsidR="00D006D8" w:rsidRPr="00DF7386" w:rsidRDefault="00D006D8" w:rsidP="00D006D8">
      <w:pPr>
        <w:pStyle w:val="NoSpacing"/>
        <w:rPr>
          <w:rFonts w:ascii="Times New Roman" w:hAnsi="Times New Roman" w:cs="Times New Roman"/>
        </w:rPr>
      </w:pPr>
    </w:p>
    <w:p w14:paraId="3209CA44" w14:textId="40501FD0" w:rsidR="00D006D8" w:rsidRPr="00DF7386" w:rsidRDefault="008C1303" w:rsidP="00D006D8">
      <w:pPr>
        <w:pStyle w:val="Heading1"/>
        <w:rPr>
          <w:sz w:val="22"/>
          <w:szCs w:val="22"/>
        </w:rPr>
      </w:pPr>
      <w:r>
        <w:rPr>
          <w:sz w:val="22"/>
          <w:szCs w:val="22"/>
        </w:rPr>
        <w:t xml:space="preserve"> </w:t>
      </w:r>
      <w:r w:rsidR="00D006D8" w:rsidRPr="00DF7386">
        <w:rPr>
          <w:sz w:val="22"/>
          <w:szCs w:val="22"/>
        </w:rPr>
        <w:t>Data Analysis Methods</w:t>
      </w:r>
    </w:p>
    <w:p w14:paraId="3CA16E1E" w14:textId="3EEAC5E4" w:rsidR="00D006D8" w:rsidRPr="00DF7386" w:rsidRDefault="001418AA" w:rsidP="00D006D8">
      <w:pPr>
        <w:pStyle w:val="Heading2"/>
        <w:rPr>
          <w:sz w:val="22"/>
          <w:szCs w:val="22"/>
        </w:rPr>
      </w:pPr>
      <w:r w:rsidRPr="00DF7386">
        <w:rPr>
          <w:sz w:val="22"/>
          <w:szCs w:val="22"/>
        </w:rPr>
        <w:t>Research Questions</w:t>
      </w:r>
    </w:p>
    <w:p w14:paraId="448CDA68" w14:textId="2874EDEF" w:rsidR="0035682B" w:rsidRPr="00DF7386" w:rsidRDefault="002F5C08" w:rsidP="007E270D">
      <w:pPr>
        <w:ind w:firstLine="202"/>
        <w:rPr>
          <w:sz w:val="22"/>
          <w:szCs w:val="22"/>
        </w:rPr>
      </w:pPr>
      <w:r w:rsidRPr="00DF7386">
        <w:rPr>
          <w:sz w:val="22"/>
          <w:szCs w:val="22"/>
        </w:rPr>
        <w:t>O</w:t>
      </w:r>
      <w:r w:rsidR="0035682B" w:rsidRPr="00DF7386">
        <w:rPr>
          <w:sz w:val="22"/>
          <w:szCs w:val="22"/>
        </w:rPr>
        <w:t>ur ove</w:t>
      </w:r>
      <w:r w:rsidR="007E270D" w:rsidRPr="00DF7386">
        <w:rPr>
          <w:sz w:val="22"/>
          <w:szCs w:val="22"/>
        </w:rPr>
        <w:t>rarching goal for the project was</w:t>
      </w:r>
      <w:r w:rsidR="0035682B" w:rsidRPr="00DF7386">
        <w:rPr>
          <w:sz w:val="22"/>
          <w:szCs w:val="22"/>
        </w:rPr>
        <w:t xml:space="preserve"> to accurately predict </w:t>
      </w:r>
      <w:r w:rsidR="007E270D" w:rsidRPr="00DF7386">
        <w:rPr>
          <w:sz w:val="22"/>
          <w:szCs w:val="22"/>
        </w:rPr>
        <w:t xml:space="preserve">the outcome of NBA games, </w:t>
      </w:r>
      <w:r w:rsidRPr="00DF7386">
        <w:rPr>
          <w:sz w:val="22"/>
          <w:szCs w:val="22"/>
        </w:rPr>
        <w:t>but in order to guide our a</w:t>
      </w:r>
      <w:r w:rsidR="00C00547">
        <w:rPr>
          <w:sz w:val="22"/>
          <w:szCs w:val="22"/>
        </w:rPr>
        <w:t>nalysis we asked four</w:t>
      </w:r>
      <w:r w:rsidRPr="00DF7386">
        <w:rPr>
          <w:sz w:val="22"/>
          <w:szCs w:val="22"/>
        </w:rPr>
        <w:t xml:space="preserve"> main research questions:</w:t>
      </w:r>
    </w:p>
    <w:p w14:paraId="6D5A480D" w14:textId="14CD7A12" w:rsidR="007E270D" w:rsidRPr="00DF7386" w:rsidRDefault="007E270D" w:rsidP="007E270D">
      <w:pPr>
        <w:pStyle w:val="ListParagraph"/>
        <w:numPr>
          <w:ilvl w:val="0"/>
          <w:numId w:val="31"/>
        </w:numPr>
        <w:rPr>
          <w:sz w:val="22"/>
          <w:szCs w:val="22"/>
        </w:rPr>
      </w:pPr>
      <w:r w:rsidRPr="00DF7386">
        <w:rPr>
          <w:sz w:val="22"/>
          <w:szCs w:val="22"/>
        </w:rPr>
        <w:t xml:space="preserve">What are the most influential team metrics/statistics for predicting the probability of a team winning? </w:t>
      </w:r>
    </w:p>
    <w:p w14:paraId="30A4EEE5" w14:textId="01C4CD39" w:rsidR="007E270D" w:rsidRPr="00DF7386" w:rsidRDefault="007E270D" w:rsidP="007E270D">
      <w:pPr>
        <w:pStyle w:val="ListParagraph"/>
        <w:numPr>
          <w:ilvl w:val="0"/>
          <w:numId w:val="31"/>
        </w:numPr>
        <w:rPr>
          <w:sz w:val="22"/>
          <w:szCs w:val="22"/>
        </w:rPr>
      </w:pPr>
      <w:r w:rsidRPr="00DF7386">
        <w:rPr>
          <w:sz w:val="22"/>
          <w:szCs w:val="22"/>
        </w:rPr>
        <w:t>Does the importance of these metrics relative to each other change from season to season?</w:t>
      </w:r>
    </w:p>
    <w:p w14:paraId="4D1EEB24" w14:textId="0DBACDA7" w:rsidR="007E270D" w:rsidRPr="00DF7386" w:rsidRDefault="002F5C08" w:rsidP="007E270D">
      <w:pPr>
        <w:pStyle w:val="ListParagraph"/>
        <w:numPr>
          <w:ilvl w:val="0"/>
          <w:numId w:val="31"/>
        </w:numPr>
        <w:rPr>
          <w:sz w:val="22"/>
          <w:szCs w:val="22"/>
        </w:rPr>
      </w:pPr>
      <w:r w:rsidRPr="00DF7386">
        <w:rPr>
          <w:sz w:val="22"/>
          <w:szCs w:val="22"/>
        </w:rPr>
        <w:t>What combination of predictors for a logistic regression model yields the best prediction results?</w:t>
      </w:r>
    </w:p>
    <w:p w14:paraId="6D916F64" w14:textId="1B33CC55" w:rsidR="007E270D" w:rsidRPr="00DF7386" w:rsidRDefault="007E270D" w:rsidP="007E270D">
      <w:pPr>
        <w:pStyle w:val="ListParagraph"/>
        <w:numPr>
          <w:ilvl w:val="0"/>
          <w:numId w:val="31"/>
        </w:numPr>
        <w:rPr>
          <w:sz w:val="22"/>
          <w:szCs w:val="22"/>
        </w:rPr>
      </w:pPr>
      <w:r w:rsidRPr="00DF7386">
        <w:rPr>
          <w:sz w:val="22"/>
          <w:szCs w:val="22"/>
        </w:rPr>
        <w:t>If we were</w:t>
      </w:r>
      <w:r w:rsidR="002F5C08" w:rsidRPr="00DF7386">
        <w:rPr>
          <w:sz w:val="22"/>
          <w:szCs w:val="22"/>
        </w:rPr>
        <w:t xml:space="preserve"> to use moving averages of</w:t>
      </w:r>
      <w:r w:rsidRPr="00DF7386">
        <w:rPr>
          <w:sz w:val="22"/>
          <w:szCs w:val="22"/>
        </w:rPr>
        <w:t xml:space="preserve"> metrics as predictors in a logistic</w:t>
      </w:r>
      <w:r w:rsidR="002F5C08" w:rsidRPr="00DF7386">
        <w:rPr>
          <w:sz w:val="22"/>
          <w:szCs w:val="22"/>
        </w:rPr>
        <w:t xml:space="preserve"> regression model, what is the</w:t>
      </w:r>
      <w:r w:rsidR="00C00547">
        <w:rPr>
          <w:sz w:val="22"/>
          <w:szCs w:val="22"/>
        </w:rPr>
        <w:t xml:space="preserve"> ideal look-</w:t>
      </w:r>
      <w:r w:rsidRPr="00DF7386">
        <w:rPr>
          <w:sz w:val="22"/>
          <w:szCs w:val="22"/>
        </w:rPr>
        <w:t xml:space="preserve">back time? </w:t>
      </w:r>
    </w:p>
    <w:p w14:paraId="39D86D6D" w14:textId="4FB686C1" w:rsidR="001418AA" w:rsidRPr="00DF7386" w:rsidRDefault="001418AA" w:rsidP="001418AA">
      <w:pPr>
        <w:pStyle w:val="Heading2"/>
        <w:rPr>
          <w:sz w:val="22"/>
          <w:szCs w:val="22"/>
        </w:rPr>
      </w:pPr>
      <w:r w:rsidRPr="00DF7386">
        <w:rPr>
          <w:sz w:val="22"/>
          <w:szCs w:val="22"/>
        </w:rPr>
        <w:t>Data Acquisition</w:t>
      </w:r>
    </w:p>
    <w:p w14:paraId="336B01FD" w14:textId="3A92A3E6" w:rsidR="007E26B5" w:rsidRPr="00DF7386" w:rsidRDefault="00D006D8" w:rsidP="001418AA">
      <w:pPr>
        <w:pStyle w:val="body-text"/>
        <w:rPr>
          <w:rFonts w:ascii="Times New Roman" w:hAnsi="Times New Roman"/>
          <w:sz w:val="22"/>
          <w:szCs w:val="22"/>
        </w:rPr>
      </w:pPr>
      <w:r w:rsidRPr="00DF7386">
        <w:rPr>
          <w:rFonts w:ascii="Times New Roman" w:hAnsi="Times New Roman"/>
          <w:sz w:val="22"/>
          <w:szCs w:val="22"/>
        </w:rPr>
        <w:t xml:space="preserve">Since there was no readily available and free dataset of NBA game and player statistics, we created our own. With the help of a scraper written in Python, </w:t>
      </w:r>
      <w:r w:rsidR="001418AA" w:rsidRPr="00DF7386">
        <w:rPr>
          <w:rFonts w:ascii="Times New Roman" w:hAnsi="Times New Roman"/>
          <w:sz w:val="22"/>
          <w:szCs w:val="22"/>
        </w:rPr>
        <w:t>we collected team and player statistics for every NBA regular season game from 2004 to 2015</w:t>
      </w:r>
      <w:r w:rsidR="00363798" w:rsidRPr="00DF7386">
        <w:rPr>
          <w:rFonts w:ascii="Times New Roman" w:hAnsi="Times New Roman"/>
          <w:sz w:val="22"/>
          <w:szCs w:val="22"/>
        </w:rPr>
        <w:t xml:space="preserve"> from ESPN.com</w:t>
      </w:r>
      <w:r w:rsidR="001418AA" w:rsidRPr="00DF7386">
        <w:rPr>
          <w:rFonts w:ascii="Times New Roman" w:hAnsi="Times New Roman"/>
          <w:sz w:val="22"/>
          <w:szCs w:val="22"/>
        </w:rPr>
        <w:t xml:space="preserve">. </w:t>
      </w:r>
    </w:p>
    <w:p w14:paraId="36C13DBD" w14:textId="42F022F9" w:rsidR="00533321" w:rsidRPr="00DF7386" w:rsidRDefault="00C52FD6" w:rsidP="00533321">
      <w:pPr>
        <w:pStyle w:val="body-text"/>
        <w:rPr>
          <w:rFonts w:ascii="Times New Roman" w:hAnsi="Times New Roman"/>
          <w:sz w:val="22"/>
          <w:szCs w:val="22"/>
        </w:rPr>
      </w:pPr>
      <w:r>
        <w:rPr>
          <w:rFonts w:ascii="Times New Roman" w:hAnsi="Times New Roman"/>
          <w:sz w:val="22"/>
          <w:szCs w:val="22"/>
        </w:rPr>
        <w:t>T</w:t>
      </w:r>
      <w:r w:rsidR="00CB5778">
        <w:rPr>
          <w:rFonts w:ascii="Times New Roman" w:hAnsi="Times New Roman"/>
          <w:sz w:val="22"/>
          <w:szCs w:val="22"/>
        </w:rPr>
        <w:t xml:space="preserve">he scraper </w:t>
      </w:r>
      <w:r w:rsidR="00363798" w:rsidRPr="00DF7386">
        <w:rPr>
          <w:rFonts w:ascii="Times New Roman" w:hAnsi="Times New Roman"/>
          <w:sz w:val="22"/>
          <w:szCs w:val="22"/>
        </w:rPr>
        <w:t xml:space="preserve">gathered data using the following three basic steps: </w:t>
      </w:r>
    </w:p>
    <w:p w14:paraId="36453D7D" w14:textId="77777777" w:rsidR="00533321" w:rsidRPr="00DF7386" w:rsidRDefault="00533321" w:rsidP="00533321">
      <w:pPr>
        <w:pStyle w:val="body-text"/>
        <w:rPr>
          <w:rFonts w:ascii="Times New Roman" w:hAnsi="Times New Roman"/>
          <w:sz w:val="22"/>
          <w:szCs w:val="22"/>
        </w:rPr>
      </w:pPr>
    </w:p>
    <w:p w14:paraId="26A6701E" w14:textId="77777777" w:rsidR="00363798" w:rsidRPr="00DF7386" w:rsidRDefault="00363798" w:rsidP="00363798">
      <w:pPr>
        <w:pStyle w:val="body-text"/>
        <w:numPr>
          <w:ilvl w:val="0"/>
          <w:numId w:val="29"/>
        </w:numPr>
        <w:rPr>
          <w:rFonts w:ascii="Times New Roman" w:hAnsi="Times New Roman"/>
          <w:sz w:val="22"/>
          <w:szCs w:val="22"/>
        </w:rPr>
      </w:pPr>
      <w:r w:rsidRPr="00DF7386">
        <w:rPr>
          <w:rFonts w:ascii="Times New Roman" w:hAnsi="Times New Roman"/>
          <w:sz w:val="22"/>
          <w:szCs w:val="22"/>
        </w:rPr>
        <w:t xml:space="preserve">Collect team names and associated team home page URLs </w:t>
      </w:r>
    </w:p>
    <w:p w14:paraId="3C34EE45" w14:textId="244C081F" w:rsidR="00533321" w:rsidRPr="00DF7386" w:rsidRDefault="00533321" w:rsidP="00363798">
      <w:pPr>
        <w:pStyle w:val="body-text"/>
        <w:numPr>
          <w:ilvl w:val="0"/>
          <w:numId w:val="29"/>
        </w:numPr>
        <w:rPr>
          <w:rFonts w:ascii="Times New Roman" w:hAnsi="Times New Roman"/>
          <w:sz w:val="22"/>
          <w:szCs w:val="22"/>
        </w:rPr>
      </w:pPr>
      <w:r w:rsidRPr="00DF7386">
        <w:rPr>
          <w:rFonts w:ascii="Times New Roman" w:hAnsi="Times New Roman"/>
          <w:sz w:val="22"/>
          <w:szCs w:val="22"/>
        </w:rPr>
        <w:t>For each team, collect a list of game IDs corresponding to th</w:t>
      </w:r>
      <w:r w:rsidR="00C52FD6">
        <w:rPr>
          <w:rFonts w:ascii="Times New Roman" w:hAnsi="Times New Roman"/>
          <w:sz w:val="22"/>
          <w:szCs w:val="22"/>
        </w:rPr>
        <w:t xml:space="preserve">e games that the team played </w:t>
      </w:r>
      <w:r w:rsidRPr="00DF7386">
        <w:rPr>
          <w:rFonts w:ascii="Times New Roman" w:hAnsi="Times New Roman"/>
          <w:sz w:val="22"/>
          <w:szCs w:val="22"/>
        </w:rPr>
        <w:t>between 2004 and 2015</w:t>
      </w:r>
    </w:p>
    <w:p w14:paraId="6CA3A76B" w14:textId="0923CB25" w:rsidR="00533321" w:rsidRPr="00DF7386" w:rsidRDefault="00533321" w:rsidP="00363798">
      <w:pPr>
        <w:pStyle w:val="body-text"/>
        <w:numPr>
          <w:ilvl w:val="0"/>
          <w:numId w:val="29"/>
        </w:numPr>
        <w:rPr>
          <w:rFonts w:ascii="Times New Roman" w:hAnsi="Times New Roman"/>
          <w:sz w:val="22"/>
          <w:szCs w:val="22"/>
        </w:rPr>
      </w:pPr>
      <w:r w:rsidRPr="00DF7386">
        <w:rPr>
          <w:rFonts w:ascii="Times New Roman" w:hAnsi="Times New Roman"/>
          <w:sz w:val="22"/>
          <w:szCs w:val="22"/>
        </w:rPr>
        <w:t>For each game ID, collect the box-score player statistics and save all the statistics into one CSV file</w:t>
      </w:r>
    </w:p>
    <w:p w14:paraId="1954A3E1" w14:textId="77777777" w:rsidR="00533321" w:rsidRPr="00DF7386" w:rsidRDefault="00533321" w:rsidP="00533321">
      <w:pPr>
        <w:pStyle w:val="body-text"/>
        <w:ind w:left="590" w:firstLine="0"/>
        <w:rPr>
          <w:rFonts w:ascii="Times New Roman" w:hAnsi="Times New Roman"/>
          <w:sz w:val="22"/>
          <w:szCs w:val="22"/>
        </w:rPr>
      </w:pPr>
    </w:p>
    <w:p w14:paraId="3AB05790" w14:textId="049BCADA" w:rsidR="00A37260" w:rsidRDefault="00533321" w:rsidP="00533321">
      <w:pPr>
        <w:pStyle w:val="body-text"/>
        <w:rPr>
          <w:rFonts w:ascii="Times New Roman" w:hAnsi="Times New Roman"/>
          <w:sz w:val="22"/>
          <w:szCs w:val="22"/>
        </w:rPr>
      </w:pPr>
      <w:r w:rsidRPr="00DF7386">
        <w:rPr>
          <w:rFonts w:ascii="Times New Roman" w:hAnsi="Times New Roman"/>
          <w:sz w:val="22"/>
          <w:szCs w:val="22"/>
        </w:rPr>
        <w:t xml:space="preserve">The final CSV file contained 317,868 rows, each row corresponding to a particular player playing in a particular game. In total, the scraper collected data for 13,106 games. </w:t>
      </w:r>
    </w:p>
    <w:p w14:paraId="5214D77D" w14:textId="67C1CB02" w:rsidR="001418AA" w:rsidRPr="00DF7386" w:rsidRDefault="001418AA" w:rsidP="00533321">
      <w:pPr>
        <w:pStyle w:val="body-text"/>
        <w:rPr>
          <w:rFonts w:ascii="Times New Roman" w:hAnsi="Times New Roman"/>
          <w:sz w:val="22"/>
          <w:szCs w:val="22"/>
        </w:rPr>
      </w:pPr>
    </w:p>
    <w:p w14:paraId="1A1BFAEB" w14:textId="6E1DEFE3" w:rsidR="001418AA" w:rsidRPr="00DF7386" w:rsidRDefault="00A37260" w:rsidP="001418AA">
      <w:pPr>
        <w:pStyle w:val="Heading2"/>
        <w:rPr>
          <w:sz w:val="22"/>
          <w:szCs w:val="22"/>
        </w:rPr>
      </w:pPr>
      <w:r>
        <w:rPr>
          <w:sz w:val="22"/>
          <w:szCs w:val="22"/>
        </w:rPr>
        <w:lastRenderedPageBreak/>
        <w:t xml:space="preserve"> </w:t>
      </w:r>
      <w:r w:rsidR="001418AA" w:rsidRPr="00DF7386">
        <w:rPr>
          <w:sz w:val="22"/>
          <w:szCs w:val="22"/>
        </w:rPr>
        <w:t>Data Cleaning</w:t>
      </w:r>
    </w:p>
    <w:p w14:paraId="0ADD9E50" w14:textId="3BBC7711" w:rsidR="006B1AE8" w:rsidRPr="00DF7386" w:rsidRDefault="00533321" w:rsidP="008C3B31">
      <w:pPr>
        <w:pStyle w:val="Heading2"/>
        <w:numPr>
          <w:ilvl w:val="0"/>
          <w:numId w:val="0"/>
        </w:numPr>
        <w:ind w:firstLine="202"/>
        <w:rPr>
          <w:i w:val="0"/>
          <w:sz w:val="22"/>
          <w:szCs w:val="22"/>
        </w:rPr>
      </w:pPr>
      <w:r w:rsidRPr="00DF7386">
        <w:rPr>
          <w:i w:val="0"/>
          <w:sz w:val="22"/>
          <w:szCs w:val="22"/>
        </w:rPr>
        <w:t xml:space="preserve">Due to various typos and inaccuracies in the </w:t>
      </w:r>
      <w:r w:rsidR="008C3B31" w:rsidRPr="00DF7386">
        <w:rPr>
          <w:i w:val="0"/>
          <w:sz w:val="22"/>
          <w:szCs w:val="22"/>
        </w:rPr>
        <w:t>way the game statistics were presente</w:t>
      </w:r>
      <w:r w:rsidR="00C52FD6">
        <w:rPr>
          <w:i w:val="0"/>
          <w:sz w:val="22"/>
          <w:szCs w:val="22"/>
        </w:rPr>
        <w:t xml:space="preserve">d on ESPN.com, some of the </w:t>
      </w:r>
      <w:r w:rsidR="008C3B31" w:rsidRPr="00DF7386">
        <w:rPr>
          <w:i w:val="0"/>
          <w:sz w:val="22"/>
          <w:szCs w:val="22"/>
        </w:rPr>
        <w:t xml:space="preserve">collected </w:t>
      </w:r>
      <w:r w:rsidR="00C52FD6">
        <w:rPr>
          <w:i w:val="0"/>
          <w:sz w:val="22"/>
          <w:szCs w:val="22"/>
        </w:rPr>
        <w:t xml:space="preserve">data </w:t>
      </w:r>
      <w:r w:rsidR="008C3B31" w:rsidRPr="00DF7386">
        <w:rPr>
          <w:i w:val="0"/>
          <w:sz w:val="22"/>
          <w:szCs w:val="22"/>
        </w:rPr>
        <w:t>was unusable. We implemented a number of strategies to minim</w:t>
      </w:r>
      <w:r w:rsidR="00CB5778">
        <w:rPr>
          <w:i w:val="0"/>
          <w:sz w:val="22"/>
          <w:szCs w:val="22"/>
        </w:rPr>
        <w:t>ize the amount of unusable data</w:t>
      </w:r>
      <w:r w:rsidR="008C3B31" w:rsidRPr="00DF7386">
        <w:rPr>
          <w:i w:val="0"/>
          <w:sz w:val="22"/>
          <w:szCs w:val="22"/>
        </w:rPr>
        <w:t xml:space="preserve">. </w:t>
      </w:r>
    </w:p>
    <w:p w14:paraId="102920ED" w14:textId="32F73AF5" w:rsidR="008C3B31" w:rsidRPr="00DF7386" w:rsidRDefault="008C3B31" w:rsidP="008C3B31">
      <w:pPr>
        <w:ind w:firstLine="202"/>
        <w:rPr>
          <w:sz w:val="22"/>
          <w:szCs w:val="22"/>
        </w:rPr>
      </w:pPr>
      <w:r w:rsidRPr="00DF7386">
        <w:rPr>
          <w:sz w:val="22"/>
          <w:szCs w:val="22"/>
        </w:rPr>
        <w:t>An example of a reoccurring inaccuracy and the strategy we used t</w:t>
      </w:r>
      <w:r w:rsidR="005C3D0E">
        <w:rPr>
          <w:sz w:val="22"/>
          <w:szCs w:val="22"/>
        </w:rPr>
        <w:t>o resolve it is described below:</w:t>
      </w:r>
    </w:p>
    <w:p w14:paraId="2A94EA69" w14:textId="1C4061EC" w:rsidR="008C3B31" w:rsidRPr="00DF7386" w:rsidRDefault="008C3B31" w:rsidP="008C3B31">
      <w:pPr>
        <w:ind w:firstLine="202"/>
        <w:rPr>
          <w:sz w:val="22"/>
          <w:szCs w:val="22"/>
        </w:rPr>
      </w:pPr>
    </w:p>
    <w:p w14:paraId="55E40ABA" w14:textId="2154B092" w:rsidR="008C3B31" w:rsidRPr="00DF7386" w:rsidRDefault="008C3B31" w:rsidP="008C3B31">
      <w:pPr>
        <w:ind w:firstLine="202"/>
        <w:rPr>
          <w:sz w:val="22"/>
          <w:szCs w:val="22"/>
        </w:rPr>
      </w:pPr>
      <w:r w:rsidRPr="00DF7386">
        <w:rPr>
          <w:sz w:val="22"/>
          <w:szCs w:val="22"/>
        </w:rPr>
        <w:t>For some of the games for which we collected data, the scraper returned ‘Los Angeles’ as the team name, not distinguishing between whether the team was the Los Angeles Clipper</w:t>
      </w:r>
      <w:r w:rsidR="003C7E1D" w:rsidRPr="00DF7386">
        <w:rPr>
          <w:sz w:val="22"/>
          <w:szCs w:val="22"/>
        </w:rPr>
        <w:t>s</w:t>
      </w:r>
      <w:r w:rsidRPr="00DF7386">
        <w:rPr>
          <w:sz w:val="22"/>
          <w:szCs w:val="22"/>
        </w:rPr>
        <w:t xml:space="preserve"> or the Los Angeles Lakers. Not wanting to throw out the game data for which this was the case, w</w:t>
      </w:r>
      <w:r w:rsidR="0035682B" w:rsidRPr="00DF7386">
        <w:rPr>
          <w:sz w:val="22"/>
          <w:szCs w:val="22"/>
        </w:rPr>
        <w:t xml:space="preserve">e developed an algorithm that could extrapolate the names of the teams playing in a given game based on the list of players playing in that game. </w:t>
      </w:r>
    </w:p>
    <w:p w14:paraId="08506124" w14:textId="29DE9357" w:rsidR="0035682B" w:rsidRPr="00DF7386" w:rsidRDefault="0035682B" w:rsidP="008C3B31">
      <w:pPr>
        <w:ind w:firstLine="202"/>
        <w:rPr>
          <w:sz w:val="22"/>
          <w:szCs w:val="22"/>
        </w:rPr>
      </w:pPr>
    </w:p>
    <w:p w14:paraId="0EAB51A9" w14:textId="1473A9E9" w:rsidR="0035682B" w:rsidRPr="00DF7386" w:rsidRDefault="0035682B" w:rsidP="008C3B31">
      <w:pPr>
        <w:ind w:firstLine="202"/>
        <w:rPr>
          <w:sz w:val="22"/>
          <w:szCs w:val="22"/>
        </w:rPr>
      </w:pPr>
      <w:r w:rsidRPr="00DF7386">
        <w:rPr>
          <w:sz w:val="22"/>
          <w:szCs w:val="22"/>
        </w:rPr>
        <w:t xml:space="preserve">Nevertheless, some data was still </w:t>
      </w:r>
      <w:r w:rsidR="00BA0109">
        <w:rPr>
          <w:sz w:val="22"/>
          <w:szCs w:val="22"/>
        </w:rPr>
        <w:t>unusable</w:t>
      </w:r>
      <w:r w:rsidRPr="00DF7386">
        <w:rPr>
          <w:sz w:val="22"/>
          <w:szCs w:val="22"/>
        </w:rPr>
        <w:t xml:space="preserve"> </w:t>
      </w:r>
      <w:r w:rsidR="00BA0109">
        <w:rPr>
          <w:sz w:val="22"/>
          <w:szCs w:val="22"/>
        </w:rPr>
        <w:t>due to</w:t>
      </w:r>
      <w:r w:rsidRPr="00DF7386">
        <w:rPr>
          <w:sz w:val="22"/>
          <w:szCs w:val="22"/>
        </w:rPr>
        <w:t xml:space="preserve"> non-systematic inaccuracies. After data cleaning and interpolation our dataset contained 12,995 rows, meaning that </w:t>
      </w:r>
      <w:r w:rsidR="00BA0109">
        <w:rPr>
          <w:sz w:val="22"/>
          <w:szCs w:val="22"/>
        </w:rPr>
        <w:t xml:space="preserve">only </w:t>
      </w:r>
      <w:r w:rsidRPr="00DF7386">
        <w:rPr>
          <w:sz w:val="22"/>
          <w:szCs w:val="22"/>
        </w:rPr>
        <w:t>111 games</w:t>
      </w:r>
      <w:r w:rsidR="00BA0109">
        <w:rPr>
          <w:sz w:val="22"/>
          <w:szCs w:val="22"/>
        </w:rPr>
        <w:t xml:space="preserve"> were necessarily withheld</w:t>
      </w:r>
      <w:r w:rsidRPr="00DF7386">
        <w:rPr>
          <w:sz w:val="22"/>
          <w:szCs w:val="22"/>
        </w:rPr>
        <w:t xml:space="preserve">. Aggregate data loss, therefore, was only 0.85%. </w:t>
      </w:r>
    </w:p>
    <w:p w14:paraId="787DF772" w14:textId="5278C34D" w:rsidR="003C7E1D" w:rsidRPr="00DF7386" w:rsidRDefault="003C7E1D" w:rsidP="008C3B31">
      <w:pPr>
        <w:ind w:firstLine="202"/>
        <w:rPr>
          <w:sz w:val="22"/>
          <w:szCs w:val="22"/>
        </w:rPr>
      </w:pPr>
    </w:p>
    <w:p w14:paraId="2C615AD6" w14:textId="4E6DE88D" w:rsidR="001418AA" w:rsidRPr="00DF7386" w:rsidRDefault="002F5C08" w:rsidP="002F5C08">
      <w:pPr>
        <w:pStyle w:val="Heading2"/>
        <w:rPr>
          <w:sz w:val="22"/>
          <w:szCs w:val="22"/>
        </w:rPr>
      </w:pPr>
      <w:r w:rsidRPr="00DF7386">
        <w:rPr>
          <w:sz w:val="22"/>
          <w:szCs w:val="22"/>
        </w:rPr>
        <w:t>Dataset</w:t>
      </w:r>
    </w:p>
    <w:p w14:paraId="64872FBE" w14:textId="34826011" w:rsidR="00C17BE4" w:rsidRDefault="00A37260" w:rsidP="00C17BE4">
      <w:pPr>
        <w:pStyle w:val="body-text"/>
        <w:rPr>
          <w:rFonts w:ascii="Times New Roman" w:hAnsi="Times New Roman"/>
          <w:sz w:val="22"/>
          <w:szCs w:val="22"/>
        </w:rPr>
      </w:pPr>
      <w:r>
        <w:rPr>
          <w:rFonts w:ascii="Times New Roman" w:hAnsi="Times New Roman"/>
          <w:sz w:val="22"/>
          <w:szCs w:val="22"/>
        </w:rPr>
        <w:t>As</w:t>
      </w:r>
      <w:r w:rsidR="00DF7386">
        <w:rPr>
          <w:rFonts w:ascii="Times New Roman" w:hAnsi="Times New Roman"/>
          <w:sz w:val="22"/>
          <w:szCs w:val="22"/>
        </w:rPr>
        <w:t xml:space="preserve"> previously</w:t>
      </w:r>
      <w:r>
        <w:rPr>
          <w:rFonts w:ascii="Times New Roman" w:hAnsi="Times New Roman"/>
          <w:sz w:val="22"/>
          <w:szCs w:val="22"/>
        </w:rPr>
        <w:t xml:space="preserve"> stated</w:t>
      </w:r>
      <w:r w:rsidR="00DF7386">
        <w:rPr>
          <w:rFonts w:ascii="Times New Roman" w:hAnsi="Times New Roman"/>
          <w:sz w:val="22"/>
          <w:szCs w:val="22"/>
        </w:rPr>
        <w:t>, the dataset that we worked with contai</w:t>
      </w:r>
      <w:r w:rsidR="00A73119">
        <w:rPr>
          <w:rFonts w:ascii="Times New Roman" w:hAnsi="Times New Roman"/>
          <w:sz w:val="22"/>
          <w:szCs w:val="22"/>
        </w:rPr>
        <w:t xml:space="preserve">ned statistics for 12,995 games. We looked at a total of </w:t>
      </w:r>
      <w:r w:rsidR="00BA0109">
        <w:rPr>
          <w:rFonts w:ascii="Times New Roman" w:hAnsi="Times New Roman"/>
          <w:sz w:val="22"/>
          <w:szCs w:val="22"/>
        </w:rPr>
        <w:t>11 seasons (2004-05 to 2014-15),</w:t>
      </w:r>
      <w:r w:rsidR="00A73119">
        <w:rPr>
          <w:rFonts w:ascii="Times New Roman" w:hAnsi="Times New Roman"/>
          <w:sz w:val="22"/>
          <w:szCs w:val="22"/>
        </w:rPr>
        <w:t xml:space="preserve"> </w:t>
      </w:r>
      <w:r w:rsidR="00BA0109">
        <w:rPr>
          <w:rFonts w:ascii="Times New Roman" w:hAnsi="Times New Roman"/>
          <w:sz w:val="22"/>
          <w:szCs w:val="22"/>
        </w:rPr>
        <w:t>which</w:t>
      </w:r>
      <w:r w:rsidR="00F97C10">
        <w:rPr>
          <w:rFonts w:ascii="Times New Roman" w:hAnsi="Times New Roman"/>
          <w:sz w:val="22"/>
          <w:szCs w:val="22"/>
        </w:rPr>
        <w:t xml:space="preserve"> results in</w:t>
      </w:r>
      <w:r w:rsidR="00181668">
        <w:rPr>
          <w:rFonts w:ascii="Times New Roman" w:hAnsi="Times New Roman"/>
          <w:sz w:val="22"/>
          <w:szCs w:val="22"/>
        </w:rPr>
        <w:t xml:space="preserve"> roughly 1,200 game</w:t>
      </w:r>
      <w:r w:rsidR="00BA0109">
        <w:rPr>
          <w:rFonts w:ascii="Times New Roman" w:hAnsi="Times New Roman"/>
          <w:sz w:val="22"/>
          <w:szCs w:val="22"/>
        </w:rPr>
        <w:t xml:space="preserve">s per </w:t>
      </w:r>
      <w:r w:rsidR="00181668">
        <w:rPr>
          <w:rFonts w:ascii="Times New Roman" w:hAnsi="Times New Roman"/>
          <w:sz w:val="22"/>
          <w:szCs w:val="22"/>
        </w:rPr>
        <w:t>season</w:t>
      </w:r>
      <w:r w:rsidR="00C00547">
        <w:rPr>
          <w:rStyle w:val="FootnoteReference"/>
          <w:rFonts w:ascii="Times New Roman" w:hAnsi="Times New Roman"/>
          <w:sz w:val="22"/>
          <w:szCs w:val="22"/>
        </w:rPr>
        <w:footnoteReference w:id="2"/>
      </w:r>
      <w:r w:rsidR="00181668">
        <w:rPr>
          <w:rFonts w:ascii="Times New Roman" w:hAnsi="Times New Roman"/>
          <w:sz w:val="22"/>
          <w:szCs w:val="22"/>
        </w:rPr>
        <w:t xml:space="preserve">. </w:t>
      </w:r>
      <w:r w:rsidR="00F97C10">
        <w:rPr>
          <w:rFonts w:ascii="Times New Roman" w:hAnsi="Times New Roman"/>
          <w:sz w:val="22"/>
          <w:szCs w:val="22"/>
        </w:rPr>
        <w:t>After aggregating game</w:t>
      </w:r>
      <w:r w:rsidR="00181668">
        <w:rPr>
          <w:rFonts w:ascii="Times New Roman" w:hAnsi="Times New Roman"/>
          <w:sz w:val="22"/>
          <w:szCs w:val="22"/>
        </w:rPr>
        <w:t xml:space="preserve"> statistics</w:t>
      </w:r>
      <w:r w:rsidR="00F97C10">
        <w:rPr>
          <w:rFonts w:ascii="Times New Roman" w:hAnsi="Times New Roman"/>
          <w:sz w:val="22"/>
          <w:szCs w:val="22"/>
        </w:rPr>
        <w:t xml:space="preserve"> for each player to</w:t>
      </w:r>
      <w:r w:rsidR="002535F3">
        <w:rPr>
          <w:rFonts w:ascii="Times New Roman" w:hAnsi="Times New Roman"/>
          <w:sz w:val="22"/>
          <w:szCs w:val="22"/>
        </w:rPr>
        <w:t xml:space="preserve"> game statistics</w:t>
      </w:r>
      <w:r w:rsidR="00F97C10">
        <w:rPr>
          <w:rFonts w:ascii="Times New Roman" w:hAnsi="Times New Roman"/>
          <w:sz w:val="22"/>
          <w:szCs w:val="22"/>
        </w:rPr>
        <w:t xml:space="preserve"> for each team</w:t>
      </w:r>
      <w:r w:rsidR="002535F3">
        <w:rPr>
          <w:rFonts w:ascii="Times New Roman" w:hAnsi="Times New Roman"/>
          <w:sz w:val="22"/>
          <w:szCs w:val="22"/>
        </w:rPr>
        <w:t>, we had 18</w:t>
      </w:r>
      <w:r w:rsidR="008C1303">
        <w:rPr>
          <w:rFonts w:ascii="Times New Roman" w:hAnsi="Times New Roman"/>
          <w:sz w:val="22"/>
          <w:szCs w:val="22"/>
        </w:rPr>
        <w:t xml:space="preserve"> </w:t>
      </w:r>
      <w:r w:rsidR="00F97C10">
        <w:rPr>
          <w:rFonts w:ascii="Times New Roman" w:hAnsi="Times New Roman"/>
          <w:sz w:val="22"/>
          <w:szCs w:val="22"/>
        </w:rPr>
        <w:t xml:space="preserve">predictors </w:t>
      </w:r>
      <w:r w:rsidR="001D719B">
        <w:rPr>
          <w:rFonts w:ascii="Times New Roman" w:hAnsi="Times New Roman"/>
          <w:sz w:val="22"/>
          <w:szCs w:val="22"/>
        </w:rPr>
        <w:t>for each team in each</w:t>
      </w:r>
      <w:r w:rsidR="00181668">
        <w:rPr>
          <w:rFonts w:ascii="Times New Roman" w:hAnsi="Times New Roman"/>
          <w:sz w:val="22"/>
          <w:szCs w:val="22"/>
        </w:rPr>
        <w:t xml:space="preserve"> game</w:t>
      </w:r>
      <w:r w:rsidR="00863FD3">
        <w:rPr>
          <w:rFonts w:ascii="Times New Roman" w:hAnsi="Times New Roman"/>
          <w:sz w:val="22"/>
          <w:szCs w:val="22"/>
        </w:rPr>
        <w:t xml:space="preserve">. </w:t>
      </w:r>
      <w:r w:rsidR="001D719B" w:rsidRPr="00724E88">
        <w:rPr>
          <w:rFonts w:ascii="Times New Roman" w:hAnsi="Times New Roman"/>
          <w:sz w:val="22"/>
          <w:szCs w:val="22"/>
        </w:rPr>
        <w:t>Table I</w:t>
      </w:r>
      <w:r w:rsidR="001D719B">
        <w:rPr>
          <w:rFonts w:ascii="Times New Roman" w:hAnsi="Times New Roman"/>
          <w:sz w:val="22"/>
          <w:szCs w:val="22"/>
        </w:rPr>
        <w:t xml:space="preserve"> </w:t>
      </w:r>
      <w:r w:rsidR="00181668">
        <w:rPr>
          <w:rFonts w:ascii="Times New Roman" w:hAnsi="Times New Roman"/>
          <w:sz w:val="22"/>
          <w:szCs w:val="22"/>
        </w:rPr>
        <w:t xml:space="preserve">summarizes the attributes of the dataset. </w:t>
      </w:r>
    </w:p>
    <w:p w14:paraId="6FCE1B2A" w14:textId="6CC43C85" w:rsidR="00931919" w:rsidRDefault="00863FD3" w:rsidP="00931919">
      <w:pPr>
        <w:pStyle w:val="body-text"/>
        <w:ind w:firstLine="202"/>
        <w:rPr>
          <w:rFonts w:ascii="Times New Roman" w:hAnsi="Times New Roman"/>
          <w:sz w:val="22"/>
          <w:szCs w:val="22"/>
        </w:rPr>
      </w:pPr>
      <w:r>
        <w:rPr>
          <w:rFonts w:ascii="Times New Roman" w:hAnsi="Times New Roman"/>
          <w:sz w:val="22"/>
          <w:szCs w:val="22"/>
        </w:rPr>
        <w:t xml:space="preserve">The statistics described in </w:t>
      </w:r>
      <w:r w:rsidR="001D719B" w:rsidRPr="00724E88">
        <w:rPr>
          <w:rFonts w:ascii="Times New Roman" w:hAnsi="Times New Roman"/>
          <w:sz w:val="22"/>
          <w:szCs w:val="22"/>
        </w:rPr>
        <w:t>Table I</w:t>
      </w:r>
      <w:r w:rsidR="001D719B">
        <w:rPr>
          <w:rFonts w:ascii="Times New Roman" w:hAnsi="Times New Roman"/>
          <w:sz w:val="22"/>
          <w:szCs w:val="22"/>
        </w:rPr>
        <w:t xml:space="preserve"> </w:t>
      </w:r>
      <w:r w:rsidR="00CB5778">
        <w:rPr>
          <w:rFonts w:ascii="Times New Roman" w:hAnsi="Times New Roman"/>
          <w:sz w:val="22"/>
          <w:szCs w:val="22"/>
        </w:rPr>
        <w:t>wer</w:t>
      </w:r>
      <w:r>
        <w:rPr>
          <w:rFonts w:ascii="Times New Roman" w:hAnsi="Times New Roman"/>
          <w:sz w:val="22"/>
          <w:szCs w:val="22"/>
        </w:rPr>
        <w:t xml:space="preserve">e used to derive the large majority of advanced NBA statistics. These advanced metrics </w:t>
      </w:r>
      <w:r w:rsidR="00F97C10">
        <w:rPr>
          <w:rFonts w:ascii="Times New Roman" w:hAnsi="Times New Roman"/>
          <w:sz w:val="22"/>
          <w:szCs w:val="22"/>
        </w:rPr>
        <w:t>are commonly accepted</w:t>
      </w:r>
      <w:r>
        <w:rPr>
          <w:rFonts w:ascii="Times New Roman" w:hAnsi="Times New Roman"/>
          <w:sz w:val="22"/>
          <w:szCs w:val="22"/>
        </w:rPr>
        <w:t xml:space="preserve"> to serve as better</w:t>
      </w:r>
      <w:r w:rsidR="00F97C10">
        <w:rPr>
          <w:rFonts w:ascii="Times New Roman" w:hAnsi="Times New Roman"/>
          <w:sz w:val="22"/>
          <w:szCs w:val="22"/>
        </w:rPr>
        <w:t xml:space="preserve"> indicators for team performance</w:t>
      </w:r>
      <w:r>
        <w:rPr>
          <w:rFonts w:ascii="Times New Roman" w:hAnsi="Times New Roman"/>
          <w:sz w:val="22"/>
          <w:szCs w:val="22"/>
        </w:rPr>
        <w:t xml:space="preserve">, so we calculated </w:t>
      </w:r>
      <w:r w:rsidR="00F97C10">
        <w:rPr>
          <w:rFonts w:ascii="Times New Roman" w:hAnsi="Times New Roman"/>
          <w:sz w:val="22"/>
          <w:szCs w:val="22"/>
        </w:rPr>
        <w:t xml:space="preserve">them from our existing </w:t>
      </w:r>
      <w:r w:rsidR="004C2C69">
        <w:rPr>
          <w:rFonts w:ascii="Times New Roman" w:hAnsi="Times New Roman"/>
          <w:sz w:val="22"/>
          <w:szCs w:val="22"/>
        </w:rPr>
        <w:t>predictors</w:t>
      </w:r>
      <w:r w:rsidR="000458F4">
        <w:rPr>
          <w:rFonts w:ascii="Times New Roman" w:hAnsi="Times New Roman"/>
          <w:sz w:val="22"/>
          <w:szCs w:val="22"/>
        </w:rPr>
        <w:t xml:space="preserve"> </w:t>
      </w:r>
      <w:r w:rsidR="004C2C69">
        <w:rPr>
          <w:rFonts w:ascii="Times New Roman" w:hAnsi="Times New Roman"/>
          <w:sz w:val="22"/>
          <w:szCs w:val="22"/>
        </w:rPr>
        <w:t>and appended</w:t>
      </w:r>
      <w:r>
        <w:rPr>
          <w:rFonts w:ascii="Times New Roman" w:hAnsi="Times New Roman"/>
          <w:sz w:val="22"/>
          <w:szCs w:val="22"/>
        </w:rPr>
        <w:t xml:space="preserve"> them to our dataset.</w:t>
      </w:r>
      <w:r w:rsidR="004C2C69">
        <w:rPr>
          <w:rFonts w:ascii="Times New Roman" w:hAnsi="Times New Roman"/>
          <w:sz w:val="22"/>
          <w:szCs w:val="22"/>
        </w:rPr>
        <w:t xml:space="preserve"> These advanced statistics </w:t>
      </w:r>
      <w:r w:rsidR="00931919">
        <w:rPr>
          <w:rFonts w:ascii="Times New Roman" w:hAnsi="Times New Roman"/>
          <w:sz w:val="22"/>
          <w:szCs w:val="22"/>
        </w:rPr>
        <w:t>are summarized in</w:t>
      </w:r>
      <w:r w:rsidR="00724E88">
        <w:rPr>
          <w:rFonts w:ascii="Times New Roman" w:hAnsi="Times New Roman"/>
          <w:sz w:val="22"/>
          <w:szCs w:val="22"/>
        </w:rPr>
        <w:t xml:space="preserve"> Table II</w:t>
      </w:r>
      <w:r w:rsidR="00931919">
        <w:rPr>
          <w:rFonts w:ascii="Times New Roman" w:hAnsi="Times New Roman"/>
          <w:sz w:val="22"/>
          <w:szCs w:val="22"/>
        </w:rPr>
        <w:t xml:space="preserve">. </w:t>
      </w:r>
    </w:p>
    <w:p w14:paraId="35C94035" w14:textId="528B5012" w:rsidR="001D719B" w:rsidRDefault="001D719B" w:rsidP="00931919">
      <w:pPr>
        <w:pStyle w:val="body-text"/>
        <w:ind w:firstLine="202"/>
        <w:rPr>
          <w:rFonts w:ascii="Times New Roman" w:hAnsi="Times New Roman"/>
          <w:sz w:val="22"/>
          <w:szCs w:val="22"/>
        </w:rPr>
      </w:pPr>
      <w:r>
        <w:rPr>
          <w:rFonts w:ascii="Times New Roman" w:hAnsi="Times New Roman"/>
          <w:sz w:val="22"/>
          <w:szCs w:val="22"/>
        </w:rPr>
        <w:t xml:space="preserve">Notice that each advanced statistic can be derived from the statistics shown in Table I via the formula in the Calculation column. </w:t>
      </w:r>
    </w:p>
    <w:p w14:paraId="73D4D981" w14:textId="1B1198EB" w:rsidR="006B5138" w:rsidRDefault="006B5138" w:rsidP="00B35301">
      <w:pPr>
        <w:pStyle w:val="body-text"/>
        <w:ind w:firstLine="202"/>
        <w:rPr>
          <w:rFonts w:ascii="Times New Roman" w:hAnsi="Times New Roman"/>
          <w:sz w:val="22"/>
          <w:szCs w:val="22"/>
        </w:rPr>
      </w:pPr>
    </w:p>
    <w:p w14:paraId="5B2BB18C" w14:textId="2CC6C185" w:rsidR="00B35301" w:rsidRDefault="00B35301" w:rsidP="00B35301">
      <w:pPr>
        <w:pStyle w:val="body-text"/>
        <w:ind w:firstLine="202"/>
        <w:rPr>
          <w:rFonts w:ascii="Times New Roman" w:hAnsi="Times New Roman"/>
          <w:sz w:val="22"/>
          <w:szCs w:val="22"/>
        </w:rPr>
      </w:pPr>
    </w:p>
    <w:p w14:paraId="364733FB" w14:textId="77777777" w:rsidR="00B35301" w:rsidRDefault="00B35301" w:rsidP="00B35301">
      <w:pPr>
        <w:pStyle w:val="body-text"/>
        <w:ind w:firstLine="202"/>
        <w:rPr>
          <w:rFonts w:ascii="Times New Roman" w:hAnsi="Times New Roman"/>
          <w:sz w:val="22"/>
          <w:szCs w:val="22"/>
        </w:rPr>
      </w:pPr>
    </w:p>
    <w:p w14:paraId="64A20224" w14:textId="77777777" w:rsidR="00B35301" w:rsidRDefault="00B35301" w:rsidP="00B35301">
      <w:pPr>
        <w:pStyle w:val="body-text"/>
        <w:ind w:firstLine="202"/>
        <w:rPr>
          <w:rFonts w:ascii="Times New Roman" w:hAnsi="Times New Roman"/>
          <w:sz w:val="22"/>
          <w:szCs w:val="22"/>
        </w:rPr>
      </w:pPr>
    </w:p>
    <w:p w14:paraId="363916BD" w14:textId="77777777" w:rsidR="00B35301" w:rsidRDefault="00B35301" w:rsidP="00B35301">
      <w:pPr>
        <w:pStyle w:val="body-text"/>
        <w:ind w:firstLine="202"/>
        <w:rPr>
          <w:rFonts w:ascii="Times New Roman" w:hAnsi="Times New Roman"/>
          <w:sz w:val="22"/>
          <w:szCs w:val="22"/>
        </w:rPr>
      </w:pPr>
    </w:p>
    <w:p w14:paraId="472A2D92" w14:textId="77777777" w:rsidR="00B35301" w:rsidRDefault="00B35301" w:rsidP="00B35301">
      <w:pPr>
        <w:pStyle w:val="body-text"/>
        <w:ind w:firstLine="202"/>
        <w:rPr>
          <w:rFonts w:ascii="Times New Roman" w:hAnsi="Times New Roman"/>
          <w:sz w:val="22"/>
          <w:szCs w:val="22"/>
        </w:rPr>
      </w:pPr>
    </w:p>
    <w:p w14:paraId="280927CB" w14:textId="4BBFE41E" w:rsidR="00B35301" w:rsidRDefault="0021192C" w:rsidP="00B35301">
      <w:pPr>
        <w:pStyle w:val="Caption"/>
        <w:keepNext/>
      </w:pPr>
      <w:r>
        <w:fldChar w:fldCharType="begin"/>
      </w:r>
      <w:r>
        <w:instrText xml:space="preserve"> LINK Excel.Sheet.8 "Macintosh HD:Users:dimitryslavin:Desktop:NBA-Arbitrage:Presentation:tables_rough_draft.xlsx!Sheet2!R1C1:R23C3" "" \a \p </w:instrText>
      </w:r>
      <w:r>
        <w:fldChar w:fldCharType="separate"/>
      </w:r>
      <w:r w:rsidR="00F4315B">
        <w:object w:dxaOrig="4860" w:dyaOrig="6660" w14:anchorId="528D3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33pt">
            <v:imagedata r:id="rId8" o:title=""/>
          </v:shape>
        </w:object>
      </w:r>
      <w:r>
        <w:fldChar w:fldCharType="end"/>
      </w:r>
    </w:p>
    <w:p w14:paraId="05E68B55" w14:textId="4E776511" w:rsidR="00B35301" w:rsidRPr="00B35301" w:rsidRDefault="00B35301" w:rsidP="00B35301">
      <w:pPr>
        <w:pStyle w:val="Caption"/>
        <w:jc w:val="center"/>
      </w:pPr>
      <w:r>
        <w:t xml:space="preserve">Table </w:t>
      </w:r>
      <w:fldSimple w:instr=" SEQ Table \* ROMAN ">
        <w:r w:rsidR="003E5E9B">
          <w:rPr>
            <w:noProof/>
          </w:rPr>
          <w:t>I</w:t>
        </w:r>
      </w:fldSimple>
      <w:r>
        <w:t>: Summary of Dataset Attributes</w:t>
      </w:r>
    </w:p>
    <w:p w14:paraId="544769C2" w14:textId="116644EB" w:rsidR="00B35301" w:rsidRDefault="00B35301" w:rsidP="00B35301">
      <w:pPr>
        <w:pStyle w:val="body-text"/>
        <w:keepNext/>
        <w:ind w:firstLine="0"/>
        <w:jc w:val="center"/>
        <w:rPr>
          <w:rFonts w:ascii="Times New Roman" w:hAnsi="Times New Roman"/>
          <w:sz w:val="22"/>
          <w:szCs w:val="22"/>
        </w:rPr>
      </w:pPr>
      <w:r>
        <w:rPr>
          <w:rFonts w:ascii="Times New Roman" w:hAnsi="Times New Roman"/>
          <w:sz w:val="22"/>
          <w:szCs w:val="22"/>
        </w:rPr>
        <w:fldChar w:fldCharType="begin"/>
      </w:r>
      <w:r>
        <w:rPr>
          <w:rFonts w:ascii="Times New Roman" w:hAnsi="Times New Roman"/>
          <w:sz w:val="22"/>
          <w:szCs w:val="22"/>
        </w:rPr>
        <w:instrText xml:space="preserve"> LINK Excel.Sheet.8 "Macintosh HD:Users:dimitryslavin:Desktop:NBA-Arbitrage:Presentation:tables_rough_draft.xlsx!Sheet4!R1C1:R10C3" "" \a \p </w:instrText>
      </w:r>
      <w:r>
        <w:rPr>
          <w:rFonts w:ascii="Times New Roman" w:hAnsi="Times New Roman"/>
          <w:sz w:val="22"/>
          <w:szCs w:val="22"/>
        </w:rPr>
        <w:fldChar w:fldCharType="separate"/>
      </w:r>
      <w:r w:rsidR="00F4315B">
        <w:rPr>
          <w:rFonts w:ascii="Times New Roman" w:hAnsi="Times New Roman"/>
          <w:sz w:val="22"/>
          <w:szCs w:val="22"/>
        </w:rPr>
        <w:object w:dxaOrig="4860" w:dyaOrig="3320" w14:anchorId="52CF1B71">
          <v:shape id="_x0000_i1026" type="#_x0000_t75" style="width:243pt;height:165.9pt">
            <v:imagedata r:id="rId9" o:title=""/>
          </v:shape>
        </w:object>
      </w:r>
      <w:r>
        <w:rPr>
          <w:rFonts w:ascii="Times New Roman" w:hAnsi="Times New Roman"/>
          <w:sz w:val="22"/>
          <w:szCs w:val="22"/>
        </w:rPr>
        <w:fldChar w:fldCharType="end"/>
      </w:r>
    </w:p>
    <w:p w14:paraId="1B493E89" w14:textId="77777777" w:rsidR="008C41FF" w:rsidRDefault="008C41FF" w:rsidP="00B35301">
      <w:pPr>
        <w:pStyle w:val="body-text"/>
        <w:keepNext/>
        <w:ind w:firstLine="0"/>
        <w:jc w:val="center"/>
      </w:pPr>
    </w:p>
    <w:p w14:paraId="52B1258C" w14:textId="1977D0A9" w:rsidR="00B35301" w:rsidRDefault="00B35301" w:rsidP="00B35301">
      <w:pPr>
        <w:pStyle w:val="Caption"/>
        <w:jc w:val="center"/>
      </w:pPr>
      <w:bookmarkStart w:id="0" w:name="_Ref292046187"/>
      <w:r>
        <w:t xml:space="preserve">Table </w:t>
      </w:r>
      <w:fldSimple w:instr=" SEQ Table \* ROMAN ">
        <w:r w:rsidR="003E5E9B">
          <w:rPr>
            <w:noProof/>
          </w:rPr>
          <w:t>II</w:t>
        </w:r>
      </w:fldSimple>
      <w:bookmarkEnd w:id="0"/>
      <w:r>
        <w:t>: Summary of Advanced Statistics</w:t>
      </w:r>
    </w:p>
    <w:p w14:paraId="63F0C0B8" w14:textId="77777777" w:rsidR="008C41FF" w:rsidRPr="008C41FF" w:rsidRDefault="008C41FF" w:rsidP="008C41FF"/>
    <w:p w14:paraId="274F0C36" w14:textId="77777777" w:rsidR="005C3D0E" w:rsidRDefault="005C3D0E" w:rsidP="00B35301">
      <w:pPr>
        <w:pStyle w:val="body-text"/>
        <w:ind w:firstLine="0"/>
        <w:jc w:val="center"/>
        <w:rPr>
          <w:rFonts w:ascii="Times New Roman" w:hAnsi="Times New Roman"/>
          <w:sz w:val="22"/>
          <w:szCs w:val="22"/>
        </w:rPr>
      </w:pPr>
    </w:p>
    <w:p w14:paraId="1E944238" w14:textId="77777777" w:rsidR="005C3D0E" w:rsidRDefault="005C3D0E" w:rsidP="00B35301">
      <w:pPr>
        <w:pStyle w:val="body-text"/>
        <w:ind w:firstLine="0"/>
        <w:jc w:val="center"/>
        <w:rPr>
          <w:rFonts w:ascii="Times New Roman" w:hAnsi="Times New Roman"/>
          <w:sz w:val="22"/>
          <w:szCs w:val="22"/>
        </w:rPr>
      </w:pPr>
    </w:p>
    <w:p w14:paraId="38BD2693" w14:textId="77777777" w:rsidR="005C3D0E" w:rsidRDefault="005C3D0E" w:rsidP="00B35301">
      <w:pPr>
        <w:pStyle w:val="body-text"/>
        <w:ind w:firstLine="0"/>
        <w:jc w:val="center"/>
        <w:rPr>
          <w:rFonts w:ascii="Times New Roman" w:hAnsi="Times New Roman"/>
          <w:sz w:val="22"/>
          <w:szCs w:val="22"/>
        </w:rPr>
      </w:pPr>
    </w:p>
    <w:p w14:paraId="4B7DB323" w14:textId="77777777" w:rsidR="005C3D0E" w:rsidRDefault="005C3D0E" w:rsidP="00B35301">
      <w:pPr>
        <w:pStyle w:val="body-text"/>
        <w:ind w:firstLine="0"/>
        <w:jc w:val="center"/>
        <w:rPr>
          <w:rFonts w:ascii="Times New Roman" w:hAnsi="Times New Roman"/>
          <w:sz w:val="22"/>
          <w:szCs w:val="22"/>
        </w:rPr>
      </w:pPr>
    </w:p>
    <w:p w14:paraId="304E2879" w14:textId="77777777" w:rsidR="005C3D0E" w:rsidRDefault="005C3D0E" w:rsidP="00B35301">
      <w:pPr>
        <w:pStyle w:val="body-text"/>
        <w:ind w:firstLine="0"/>
        <w:jc w:val="center"/>
        <w:rPr>
          <w:rFonts w:ascii="Times New Roman" w:hAnsi="Times New Roman"/>
          <w:sz w:val="22"/>
          <w:szCs w:val="22"/>
        </w:rPr>
      </w:pPr>
    </w:p>
    <w:p w14:paraId="41736CDE" w14:textId="77777777" w:rsidR="005C3D0E" w:rsidRDefault="005C3D0E" w:rsidP="00B35301">
      <w:pPr>
        <w:pStyle w:val="body-text"/>
        <w:ind w:firstLine="0"/>
        <w:jc w:val="center"/>
        <w:rPr>
          <w:rFonts w:ascii="Times New Roman" w:hAnsi="Times New Roman"/>
          <w:sz w:val="22"/>
          <w:szCs w:val="22"/>
        </w:rPr>
      </w:pPr>
    </w:p>
    <w:p w14:paraId="40FD7C8B" w14:textId="77777777" w:rsidR="005C3D0E" w:rsidRDefault="005C3D0E" w:rsidP="00D33FE1">
      <w:pPr>
        <w:pStyle w:val="body-text"/>
        <w:ind w:firstLine="0"/>
        <w:rPr>
          <w:rFonts w:ascii="Times New Roman" w:hAnsi="Times New Roman"/>
          <w:sz w:val="22"/>
          <w:szCs w:val="22"/>
        </w:rPr>
      </w:pPr>
    </w:p>
    <w:p w14:paraId="2D6B84F3" w14:textId="3598CBCC" w:rsidR="00AD56F2" w:rsidRDefault="00AD56F2" w:rsidP="00AD56F2">
      <w:pPr>
        <w:pStyle w:val="Heading2"/>
      </w:pPr>
      <w:r>
        <w:lastRenderedPageBreak/>
        <w:t>Descriptive Statistics and Exploratory Data Analysis</w:t>
      </w:r>
    </w:p>
    <w:p w14:paraId="69B7E5CF" w14:textId="24716018" w:rsidR="00AD56F2" w:rsidRDefault="00AD56F2" w:rsidP="00AD56F2">
      <w:pPr>
        <w:widowControl w:val="0"/>
        <w:adjustRightInd w:val="0"/>
        <w:ind w:firstLine="202"/>
        <w:rPr>
          <w:sz w:val="22"/>
          <w:szCs w:val="22"/>
        </w:rPr>
      </w:pPr>
      <w:r>
        <w:rPr>
          <w:sz w:val="22"/>
          <w:szCs w:val="22"/>
        </w:rPr>
        <w:t>Since the advanced statistics in Table II are commonly accepted to be better at describing team performance in a game, the rest of the analysis focuses on them.</w:t>
      </w:r>
      <w:r w:rsidR="00A37260">
        <w:rPr>
          <w:sz w:val="22"/>
          <w:szCs w:val="22"/>
        </w:rPr>
        <w:t xml:space="preserve"> Before using the advanced statistics</w:t>
      </w:r>
      <w:r>
        <w:rPr>
          <w:sz w:val="22"/>
          <w:szCs w:val="22"/>
        </w:rPr>
        <w:t xml:space="preserve"> as predictors in </w:t>
      </w:r>
      <w:r w:rsidR="0021192C">
        <w:rPr>
          <w:sz w:val="22"/>
          <w:szCs w:val="22"/>
        </w:rPr>
        <w:t>our logisti</w:t>
      </w:r>
      <w:r w:rsidR="00D33FE1">
        <w:rPr>
          <w:sz w:val="22"/>
          <w:szCs w:val="22"/>
        </w:rPr>
        <w:t>c regression model though, we go</w:t>
      </w:r>
      <w:r w:rsidR="0021192C">
        <w:rPr>
          <w:sz w:val="22"/>
          <w:szCs w:val="22"/>
        </w:rPr>
        <w:t xml:space="preserve">t a feel for the data by looking at some descriptive statistics. </w:t>
      </w:r>
    </w:p>
    <w:p w14:paraId="3CD62E5C" w14:textId="20DDEF15" w:rsidR="00A37260" w:rsidRDefault="0021192C" w:rsidP="00A37260">
      <w:pPr>
        <w:widowControl w:val="0"/>
        <w:adjustRightInd w:val="0"/>
        <w:ind w:firstLine="202"/>
        <w:rPr>
          <w:sz w:val="22"/>
          <w:szCs w:val="22"/>
        </w:rPr>
      </w:pPr>
      <w:r>
        <w:rPr>
          <w:sz w:val="22"/>
          <w:szCs w:val="22"/>
        </w:rPr>
        <w:t>In order to better understand the predictors, Table III below displays the descriptive statistics of the advanced metrics that we calculated:</w:t>
      </w:r>
    </w:p>
    <w:p w14:paraId="3D4B7A08" w14:textId="50E50BA7" w:rsidR="00DD4701" w:rsidRDefault="00F4315B" w:rsidP="00A37260">
      <w:pPr>
        <w:widowControl w:val="0"/>
        <w:adjustRightInd w:val="0"/>
        <w:ind w:firstLine="202"/>
        <w:rPr>
          <w:sz w:val="22"/>
          <w:szCs w:val="22"/>
        </w:rPr>
      </w:pPr>
      <w:r>
        <w:rPr>
          <w:noProof/>
          <w:sz w:val="22"/>
          <w:szCs w:val="22"/>
        </w:rPr>
        <w:pict w14:anchorId="638AD530">
          <v:shape id="_x0000_s1029" type="#_x0000_t75" style="position:absolute;left:0;text-align:left;margin-left:0;margin-top:10.15pt;width:241.05pt;height:152.75pt;z-index:-251658240;mso-wrap-edited:f;mso-position-horizontal-relative:text;mso-position-vertical-relative:text" wrapcoords="0 0 21600 0 21600 21600 0 21600 0 0">
            <v:imagedata r:id="rId10" o:title=""/>
          </v:shape>
        </w:pict>
      </w:r>
    </w:p>
    <w:p w14:paraId="13954B31" w14:textId="6F5FFFCB" w:rsidR="00DD4701" w:rsidRDefault="00DD4701" w:rsidP="00A37260">
      <w:pPr>
        <w:widowControl w:val="0"/>
        <w:adjustRightInd w:val="0"/>
        <w:ind w:firstLine="202"/>
        <w:rPr>
          <w:sz w:val="22"/>
          <w:szCs w:val="22"/>
        </w:rPr>
      </w:pPr>
    </w:p>
    <w:p w14:paraId="617258D0" w14:textId="77777777" w:rsidR="00DD4701" w:rsidRDefault="00DD4701" w:rsidP="00A37260">
      <w:pPr>
        <w:widowControl w:val="0"/>
        <w:adjustRightInd w:val="0"/>
        <w:ind w:firstLine="202"/>
        <w:rPr>
          <w:sz w:val="22"/>
          <w:szCs w:val="22"/>
        </w:rPr>
      </w:pPr>
    </w:p>
    <w:p w14:paraId="7AC5FE5F" w14:textId="77777777" w:rsidR="00DD4701" w:rsidRDefault="00DD4701" w:rsidP="00A37260">
      <w:pPr>
        <w:widowControl w:val="0"/>
        <w:adjustRightInd w:val="0"/>
        <w:ind w:firstLine="202"/>
        <w:rPr>
          <w:sz w:val="22"/>
          <w:szCs w:val="22"/>
        </w:rPr>
      </w:pPr>
    </w:p>
    <w:p w14:paraId="18BC8869" w14:textId="77777777" w:rsidR="00DD4701" w:rsidRDefault="00DD4701" w:rsidP="00A37260">
      <w:pPr>
        <w:widowControl w:val="0"/>
        <w:adjustRightInd w:val="0"/>
        <w:ind w:firstLine="202"/>
        <w:rPr>
          <w:sz w:val="22"/>
          <w:szCs w:val="22"/>
        </w:rPr>
      </w:pPr>
    </w:p>
    <w:p w14:paraId="13C9EE67" w14:textId="77777777" w:rsidR="00DD4701" w:rsidRDefault="00DD4701" w:rsidP="00A37260">
      <w:pPr>
        <w:widowControl w:val="0"/>
        <w:adjustRightInd w:val="0"/>
        <w:ind w:firstLine="202"/>
        <w:rPr>
          <w:sz w:val="22"/>
          <w:szCs w:val="22"/>
        </w:rPr>
      </w:pPr>
    </w:p>
    <w:p w14:paraId="44CB991E" w14:textId="77777777" w:rsidR="00DD4701" w:rsidRDefault="00DD4701" w:rsidP="00A37260">
      <w:pPr>
        <w:widowControl w:val="0"/>
        <w:adjustRightInd w:val="0"/>
        <w:ind w:firstLine="202"/>
        <w:rPr>
          <w:sz w:val="22"/>
          <w:szCs w:val="22"/>
        </w:rPr>
      </w:pPr>
    </w:p>
    <w:p w14:paraId="51BDFA79" w14:textId="77777777" w:rsidR="00DD4701" w:rsidRDefault="00DD4701" w:rsidP="00A37260">
      <w:pPr>
        <w:widowControl w:val="0"/>
        <w:adjustRightInd w:val="0"/>
        <w:ind w:firstLine="202"/>
        <w:rPr>
          <w:sz w:val="22"/>
          <w:szCs w:val="22"/>
        </w:rPr>
      </w:pPr>
    </w:p>
    <w:p w14:paraId="003EE75A" w14:textId="77777777" w:rsidR="00DD4701" w:rsidRDefault="00DD4701" w:rsidP="00A37260">
      <w:pPr>
        <w:widowControl w:val="0"/>
        <w:adjustRightInd w:val="0"/>
        <w:ind w:firstLine="202"/>
        <w:rPr>
          <w:sz w:val="22"/>
          <w:szCs w:val="22"/>
        </w:rPr>
      </w:pPr>
    </w:p>
    <w:p w14:paraId="083E10AF" w14:textId="77777777" w:rsidR="00DD4701" w:rsidRDefault="00DD4701" w:rsidP="00A37260">
      <w:pPr>
        <w:widowControl w:val="0"/>
        <w:adjustRightInd w:val="0"/>
        <w:ind w:firstLine="202"/>
        <w:rPr>
          <w:sz w:val="22"/>
          <w:szCs w:val="22"/>
        </w:rPr>
      </w:pPr>
    </w:p>
    <w:p w14:paraId="5012CAC3" w14:textId="77777777" w:rsidR="00DD4701" w:rsidRDefault="00DD4701" w:rsidP="00A37260">
      <w:pPr>
        <w:widowControl w:val="0"/>
        <w:adjustRightInd w:val="0"/>
        <w:ind w:firstLine="202"/>
        <w:rPr>
          <w:sz w:val="22"/>
          <w:szCs w:val="22"/>
        </w:rPr>
      </w:pPr>
    </w:p>
    <w:p w14:paraId="7BF9841A" w14:textId="77777777" w:rsidR="00DD4701" w:rsidRDefault="00DD4701" w:rsidP="00A37260">
      <w:pPr>
        <w:widowControl w:val="0"/>
        <w:adjustRightInd w:val="0"/>
        <w:ind w:firstLine="202"/>
        <w:rPr>
          <w:sz w:val="22"/>
          <w:szCs w:val="22"/>
        </w:rPr>
      </w:pPr>
    </w:p>
    <w:p w14:paraId="2E4DD23B" w14:textId="77777777" w:rsidR="00DD4701" w:rsidRDefault="00DD4701" w:rsidP="00A37260">
      <w:pPr>
        <w:widowControl w:val="0"/>
        <w:adjustRightInd w:val="0"/>
        <w:ind w:firstLine="202"/>
        <w:rPr>
          <w:sz w:val="22"/>
          <w:szCs w:val="22"/>
        </w:rPr>
      </w:pPr>
    </w:p>
    <w:p w14:paraId="7A86F3C7" w14:textId="783BE527" w:rsidR="00DD4701" w:rsidRDefault="00DD4701" w:rsidP="00A37260">
      <w:pPr>
        <w:widowControl w:val="0"/>
        <w:adjustRightInd w:val="0"/>
        <w:ind w:firstLine="202"/>
        <w:rPr>
          <w:sz w:val="22"/>
          <w:szCs w:val="22"/>
        </w:rPr>
      </w:pPr>
      <w:r>
        <w:rPr>
          <w:noProof/>
        </w:rPr>
        <mc:AlternateContent>
          <mc:Choice Requires="wps">
            <w:drawing>
              <wp:anchor distT="0" distB="0" distL="114300" distR="114300" simplePos="0" relativeHeight="251657216" behindDoc="1" locked="0" layoutInCell="1" allowOverlap="1" wp14:anchorId="1160E916" wp14:editId="2CD2FE0F">
                <wp:simplePos x="0" y="0"/>
                <wp:positionH relativeFrom="column">
                  <wp:posOffset>0</wp:posOffset>
                </wp:positionH>
                <wp:positionV relativeFrom="paragraph">
                  <wp:posOffset>42545</wp:posOffset>
                </wp:positionV>
                <wp:extent cx="3061335" cy="258445"/>
                <wp:effectExtent l="0" t="0" r="12065" b="0"/>
                <wp:wrapNone/>
                <wp:docPr id="1" name="Text Box 1"/>
                <wp:cNvGraphicFramePr/>
                <a:graphic xmlns:a="http://schemas.openxmlformats.org/drawingml/2006/main">
                  <a:graphicData uri="http://schemas.microsoft.com/office/word/2010/wordprocessingShape">
                    <wps:wsp>
                      <wps:cNvSpPr txBox="1"/>
                      <wps:spPr>
                        <a:xfrm>
                          <a:off x="0" y="0"/>
                          <a:ext cx="3061335" cy="258445"/>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F9A3864" w14:textId="21A1182E" w:rsidR="00D33FE1" w:rsidRPr="00E93BBF" w:rsidRDefault="00D33FE1" w:rsidP="001E31AA">
                            <w:pPr>
                              <w:pStyle w:val="Caption"/>
                              <w:jc w:val="center"/>
                              <w:rPr>
                                <w:noProof/>
                                <w:sz w:val="22"/>
                                <w:szCs w:val="22"/>
                              </w:rPr>
                            </w:pPr>
                            <w:r>
                              <w:t xml:space="preserve">Table </w:t>
                            </w:r>
                            <w:fldSimple w:instr=" SEQ Table \* ROMAN ">
                              <w:r w:rsidR="003E5E9B">
                                <w:rPr>
                                  <w:noProof/>
                                </w:rPr>
                                <w:t>III</w:t>
                              </w:r>
                            </w:fldSimple>
                            <w:r>
                              <w:t>: Descriptive Statistics of Advanced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160E916" id="_x0000_t202" coordsize="21600,21600" o:spt="202" path="m0,0l0,21600,21600,21600,21600,0xe">
                <v:stroke joinstyle="miter"/>
                <v:path gradientshapeok="t" o:connecttype="rect"/>
              </v:shapetype>
              <v:shape id="Text_x0020_Box_x0020_1" o:spid="_x0000_s1026" type="#_x0000_t202" style="position:absolute;left:0;text-align:left;margin-left:0;margin-top:3.35pt;width:241.05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" stroked="f">
                <v:textbox style="mso-fit-shape-to-text:t" inset="0,0,0,0">
                  <w:txbxContent>
                    <w:p w14:paraId="7F9A3864" w14:textId="21A1182E" w:rsidR="00D33FE1" w:rsidRPr="00E93BBF" w:rsidRDefault="00D33FE1" w:rsidP="001E31AA">
                      <w:pPr>
                        <w:pStyle w:val="Caption"/>
                        <w:jc w:val="center"/>
                        <w:rPr>
                          <w:noProof/>
                          <w:sz w:val="22"/>
                          <w:szCs w:val="22"/>
                        </w:rPr>
                      </w:pPr>
                      <w:r>
                        <w:t xml:space="preserve">Table </w:t>
                      </w:r>
                      <w:fldSimple w:instr=" SEQ Table \* ROMAN ">
                        <w:r w:rsidR="003E5E9B">
                          <w:rPr>
                            <w:noProof/>
                          </w:rPr>
                          <w:t>III</w:t>
                        </w:r>
                      </w:fldSimple>
                      <w:r>
                        <w:t>: Descriptive Statistics of Advanced Metrics</w:t>
                      </w:r>
                    </w:p>
                  </w:txbxContent>
                </v:textbox>
              </v:shape>
            </w:pict>
          </mc:Fallback>
        </mc:AlternateContent>
      </w:r>
    </w:p>
    <w:p w14:paraId="48073F6F" w14:textId="77777777" w:rsidR="00DD4701" w:rsidRDefault="00DD4701" w:rsidP="00A37260">
      <w:pPr>
        <w:widowControl w:val="0"/>
        <w:adjustRightInd w:val="0"/>
        <w:ind w:firstLine="202"/>
        <w:rPr>
          <w:sz w:val="22"/>
          <w:szCs w:val="22"/>
        </w:rPr>
      </w:pPr>
    </w:p>
    <w:p w14:paraId="4D6B0B31" w14:textId="2ED3E3EE" w:rsidR="001E31AA" w:rsidRDefault="001E31AA" w:rsidP="001E31AA">
      <w:pPr>
        <w:widowControl w:val="0"/>
        <w:adjustRightInd w:val="0"/>
        <w:rPr>
          <w:sz w:val="22"/>
          <w:szCs w:val="22"/>
        </w:rPr>
      </w:pPr>
      <w:r>
        <w:rPr>
          <w:sz w:val="22"/>
          <w:szCs w:val="22"/>
        </w:rPr>
        <w:tab/>
        <w:t xml:space="preserve">Note that the count in Table III is double the amount of games </w:t>
      </w:r>
      <w:r w:rsidR="00E21957">
        <w:rPr>
          <w:sz w:val="22"/>
          <w:szCs w:val="22"/>
        </w:rPr>
        <w:t xml:space="preserve">in our dataset </w:t>
      </w:r>
      <w:r>
        <w:rPr>
          <w:sz w:val="22"/>
          <w:szCs w:val="22"/>
        </w:rPr>
        <w:t>because each</w:t>
      </w:r>
      <w:r w:rsidR="00E21957">
        <w:rPr>
          <w:sz w:val="22"/>
          <w:szCs w:val="22"/>
        </w:rPr>
        <w:t xml:space="preserve"> game</w:t>
      </w:r>
      <w:r>
        <w:rPr>
          <w:sz w:val="22"/>
          <w:szCs w:val="22"/>
        </w:rPr>
        <w:t xml:space="preserve"> statistic has a v</w:t>
      </w:r>
      <w:r w:rsidR="00E21957">
        <w:rPr>
          <w:sz w:val="22"/>
          <w:szCs w:val="22"/>
        </w:rPr>
        <w:t xml:space="preserve">alue for </w:t>
      </w:r>
      <w:r w:rsidR="00DD4701">
        <w:rPr>
          <w:sz w:val="22"/>
          <w:szCs w:val="22"/>
        </w:rPr>
        <w:t xml:space="preserve">both </w:t>
      </w:r>
      <w:r w:rsidR="00E21957">
        <w:rPr>
          <w:sz w:val="22"/>
          <w:szCs w:val="22"/>
        </w:rPr>
        <w:t>the home and away team</w:t>
      </w:r>
      <w:r>
        <w:rPr>
          <w:sz w:val="22"/>
          <w:szCs w:val="22"/>
        </w:rPr>
        <w:t xml:space="preserve">. </w:t>
      </w:r>
    </w:p>
    <w:p w14:paraId="751FBE6E" w14:textId="77777777" w:rsidR="001E31AA" w:rsidRDefault="001E31AA" w:rsidP="001E31AA">
      <w:pPr>
        <w:widowControl w:val="0"/>
        <w:adjustRightInd w:val="0"/>
        <w:rPr>
          <w:sz w:val="22"/>
          <w:szCs w:val="22"/>
        </w:rPr>
      </w:pPr>
    </w:p>
    <w:p w14:paraId="5DD97367" w14:textId="77777777" w:rsidR="001E31AA" w:rsidRDefault="001E31AA" w:rsidP="001E31AA">
      <w:pPr>
        <w:pStyle w:val="Heading1"/>
      </w:pPr>
      <w:r>
        <w:t>Statistical Learning Methods</w:t>
      </w:r>
    </w:p>
    <w:p w14:paraId="2DE10522" w14:textId="77777777" w:rsidR="001E31AA" w:rsidRDefault="001E31AA" w:rsidP="001E31AA">
      <w:pPr>
        <w:pStyle w:val="Heading2"/>
      </w:pPr>
      <w:r>
        <w:t>Single Variable Logistic Regression</w:t>
      </w:r>
    </w:p>
    <w:p w14:paraId="3C296445" w14:textId="585F0D3A" w:rsidR="001E31AA" w:rsidRPr="00DD4701" w:rsidRDefault="001E31AA" w:rsidP="001E31AA">
      <w:pPr>
        <w:pStyle w:val="Heading2"/>
        <w:numPr>
          <w:ilvl w:val="0"/>
          <w:numId w:val="0"/>
        </w:numPr>
        <w:ind w:firstLine="202"/>
        <w:rPr>
          <w:i w:val="0"/>
          <w:iCs w:val="0"/>
          <w:sz w:val="22"/>
          <w:szCs w:val="22"/>
        </w:rPr>
      </w:pPr>
      <w:r w:rsidRPr="00DD4701">
        <w:rPr>
          <w:i w:val="0"/>
          <w:iCs w:val="0"/>
          <w:sz w:val="22"/>
          <w:szCs w:val="22"/>
        </w:rPr>
        <w:t xml:space="preserve">In order to determine the individual effect of the metrics on the outcome of a game we first ran </w:t>
      </w:r>
      <w:r w:rsidR="007670F7" w:rsidRPr="00DD4701">
        <w:rPr>
          <w:i w:val="0"/>
          <w:iCs w:val="0"/>
          <w:sz w:val="22"/>
          <w:szCs w:val="22"/>
        </w:rPr>
        <w:t xml:space="preserve">separate </w:t>
      </w:r>
      <w:r w:rsidRPr="00DD4701">
        <w:rPr>
          <w:i w:val="0"/>
          <w:iCs w:val="0"/>
          <w:sz w:val="22"/>
          <w:szCs w:val="22"/>
        </w:rPr>
        <w:t>logistic regressions on each metric</w:t>
      </w:r>
      <w:r w:rsidR="00C47B14" w:rsidRPr="00DD4701">
        <w:rPr>
          <w:i w:val="0"/>
          <w:iCs w:val="0"/>
          <w:sz w:val="22"/>
          <w:szCs w:val="22"/>
        </w:rPr>
        <w:t xml:space="preserve"> against the win/loss indicator of the home team</w:t>
      </w:r>
      <w:r w:rsidRPr="00DD4701">
        <w:rPr>
          <w:i w:val="0"/>
          <w:iCs w:val="0"/>
          <w:sz w:val="22"/>
          <w:szCs w:val="22"/>
        </w:rPr>
        <w:t xml:space="preserve">. </w:t>
      </w:r>
      <w:r w:rsidR="007670F7" w:rsidRPr="00DD4701">
        <w:rPr>
          <w:i w:val="0"/>
          <w:iCs w:val="0"/>
          <w:sz w:val="22"/>
          <w:szCs w:val="22"/>
        </w:rPr>
        <w:t xml:space="preserve">The general logistic function used in the regressions is shown below: </w:t>
      </w:r>
    </w:p>
    <w:p w14:paraId="6988E40B" w14:textId="77777777" w:rsidR="007670F7" w:rsidRPr="007670F7" w:rsidRDefault="007670F7" w:rsidP="007670F7"/>
    <w:p w14:paraId="7C66F989" w14:textId="11438996" w:rsidR="005C25D9" w:rsidRPr="005C25D9" w:rsidRDefault="001E31AA" w:rsidP="007670F7">
      <w:pPr>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h,n</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h,n</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a,n</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a,n</m:t>
                          </m:r>
                        </m:sup>
                      </m:sSubSup>
                    </m:e>
                  </m:d>
                </m:sup>
              </m:sSup>
            </m:den>
          </m:f>
        </m:oMath>
      </m:oMathPara>
    </w:p>
    <w:p w14:paraId="6AEA84B0" w14:textId="77777777" w:rsidR="005C25D9" w:rsidRPr="005C25D9" w:rsidRDefault="005C25D9" w:rsidP="007670F7">
      <w:pPr>
        <w:jc w:val="center"/>
      </w:pPr>
    </w:p>
    <w:p w14:paraId="606A275A" w14:textId="66AE3AEC" w:rsidR="007670F7" w:rsidRPr="007670F7" w:rsidRDefault="00DD4701" w:rsidP="007670F7">
      <w:pPr>
        <w:jc w:val="center"/>
      </w:pPr>
      <m:oMathPara>
        <m:oMath>
          <m:r>
            <w:rPr>
              <w:rFonts w:ascii="Cambria Math" w:hAnsi="Cambria Math"/>
            </w:rPr>
            <m:t xml:space="preserve">                        =P</m:t>
          </m:r>
          <m:d>
            <m:dPr>
              <m:ctrlPr>
                <w:rPr>
                  <w:rFonts w:ascii="Cambria Math" w:hAnsi="Cambria Math"/>
                  <w:i/>
                </w:rPr>
              </m:ctrlPr>
            </m:dPr>
            <m:e>
              <m:r>
                <w:rPr>
                  <w:rFonts w:ascii="Cambria Math" w:hAnsi="Cambria Math"/>
                </w:rPr>
                <m:t>home team wins</m:t>
              </m:r>
            </m:e>
            <m:e>
              <m:r>
                <w:rPr>
                  <w:rFonts w:ascii="Cambria Math" w:hAnsi="Cambria Math"/>
                </w:rPr>
                <m:t>n,</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h,n</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a,n</m:t>
                  </m:r>
                </m:sup>
              </m:sSubSup>
            </m:e>
          </m:d>
        </m:oMath>
      </m:oMathPara>
    </w:p>
    <w:p w14:paraId="6A01FE62" w14:textId="77777777" w:rsidR="007670F7" w:rsidRDefault="007670F7" w:rsidP="007670F7">
      <w:pPr>
        <w:jc w:val="center"/>
      </w:pPr>
    </w:p>
    <w:p w14:paraId="04C38254" w14:textId="00BC598A" w:rsidR="007670F7" w:rsidRPr="00DD4701" w:rsidRDefault="007670F7" w:rsidP="007670F7">
      <w:pPr>
        <w:rPr>
          <w:sz w:val="22"/>
          <w:szCs w:val="22"/>
        </w:rPr>
      </w:pPr>
      <w:r w:rsidRPr="00DD4701">
        <w:rPr>
          <w:sz w:val="22"/>
          <w:szCs w:val="22"/>
        </w:rPr>
        <w:t xml:space="preserve">where </w:t>
      </w:r>
      <m:oMath>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j</m:t>
            </m:r>
          </m:sub>
          <m:sup>
            <m:r>
              <w:rPr>
                <w:rFonts w:ascii="Cambria Math" w:hAnsi="Cambria Math"/>
                <w:sz w:val="22"/>
                <w:szCs w:val="22"/>
              </w:rPr>
              <m:t>h,n</m:t>
            </m:r>
          </m:sup>
        </m:sSubSup>
      </m:oMath>
      <w:r w:rsidR="00C2799F" w:rsidRPr="00DD4701">
        <w:rPr>
          <w:sz w:val="22"/>
          <w:szCs w:val="22"/>
        </w:rPr>
        <w:t xml:space="preserve"> </w:t>
      </w:r>
      <w:r w:rsidRPr="00DD4701">
        <w:rPr>
          <w:sz w:val="22"/>
          <w:szCs w:val="22"/>
        </w:rPr>
        <w:t>represents the</w:t>
      </w:r>
      <w:r w:rsidR="00C2799F" w:rsidRPr="00DD4701">
        <w:rPr>
          <w:sz w:val="22"/>
          <w:szCs w:val="22"/>
        </w:rPr>
        <w:t xml:space="preserve"> </w:t>
      </w:r>
      <w:r w:rsidR="00C2799F" w:rsidRPr="00DD4701">
        <w:rPr>
          <w:b/>
          <w:i/>
          <w:sz w:val="22"/>
          <w:szCs w:val="22"/>
        </w:rPr>
        <w:t>n-game moving average</w:t>
      </w:r>
      <w:r w:rsidR="00C2799F" w:rsidRPr="00DD4701">
        <w:rPr>
          <w:sz w:val="22"/>
          <w:szCs w:val="22"/>
        </w:rPr>
        <w:t xml:space="preserve"> of the </w:t>
      </w:r>
      <m:oMath>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th</m:t>
            </m:r>
          </m:sup>
        </m:sSup>
      </m:oMath>
      <w:r w:rsidR="00C2799F" w:rsidRPr="00DD4701">
        <w:rPr>
          <w:sz w:val="22"/>
          <w:szCs w:val="22"/>
        </w:rPr>
        <w:t xml:space="preserve"> </w:t>
      </w:r>
      <w:r w:rsidRPr="00DD4701">
        <w:rPr>
          <w:sz w:val="22"/>
          <w:szCs w:val="22"/>
        </w:rPr>
        <w:t>statistic f</w:t>
      </w:r>
      <w:r w:rsidR="001B5B49">
        <w:rPr>
          <w:sz w:val="22"/>
          <w:szCs w:val="22"/>
        </w:rPr>
        <w:t>or the home team,</w:t>
      </w:r>
      <w:r w:rsidRPr="00DD4701">
        <w:rPr>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j</m:t>
            </m:r>
          </m:sub>
          <m:sup>
            <m:r>
              <w:rPr>
                <w:rFonts w:ascii="Cambria Math" w:hAnsi="Cambria Math"/>
                <w:sz w:val="22"/>
                <w:szCs w:val="22"/>
              </w:rPr>
              <m:t>a,n</m:t>
            </m:r>
          </m:sup>
        </m:sSubSup>
      </m:oMath>
      <w:r w:rsidR="00C2799F" w:rsidRPr="00DD4701">
        <w:rPr>
          <w:sz w:val="22"/>
          <w:szCs w:val="22"/>
        </w:rPr>
        <w:t xml:space="preserve"> </w:t>
      </w:r>
      <w:r w:rsidRPr="00DD4701">
        <w:rPr>
          <w:sz w:val="22"/>
          <w:szCs w:val="22"/>
        </w:rPr>
        <w:t>represents the same</w:t>
      </w:r>
      <w:r w:rsidR="00C2799F" w:rsidRPr="00DD4701">
        <w:rPr>
          <w:sz w:val="22"/>
          <w:szCs w:val="22"/>
        </w:rPr>
        <w:t xml:space="preserve"> moving average statistic</w:t>
      </w:r>
      <w:r w:rsidR="001B5B49">
        <w:rPr>
          <w:sz w:val="22"/>
          <w:szCs w:val="22"/>
        </w:rPr>
        <w:t xml:space="preserve"> for the away team, and </w:t>
      </w:r>
      <m:oMath>
        <m:r>
          <w:rPr>
            <w:rFonts w:ascii="Cambria Math" w:hAnsi="Cambria Math"/>
            <w:sz w:val="22"/>
            <w:szCs w:val="22"/>
          </w:rPr>
          <m:t>n</m:t>
        </m:r>
      </m:oMath>
      <w:r w:rsidR="00DE2149" w:rsidRPr="00DD4701">
        <w:rPr>
          <w:sz w:val="22"/>
          <w:szCs w:val="22"/>
        </w:rPr>
        <w:t xml:space="preserve"> represents the </w:t>
      </w:r>
      <w:r w:rsidR="00DE2149" w:rsidRPr="00DD4701">
        <w:rPr>
          <w:b/>
          <w:i/>
          <w:sz w:val="22"/>
          <w:szCs w:val="22"/>
        </w:rPr>
        <w:t>look-back</w:t>
      </w:r>
      <w:r w:rsidR="00DE2149" w:rsidRPr="00DD4701">
        <w:rPr>
          <w:sz w:val="22"/>
          <w:szCs w:val="22"/>
        </w:rPr>
        <w:t>, which is defined as</w:t>
      </w:r>
      <w:r w:rsidR="00E21957" w:rsidRPr="00DD4701">
        <w:rPr>
          <w:sz w:val="22"/>
          <w:szCs w:val="22"/>
        </w:rPr>
        <w:t xml:space="preserve"> </w:t>
      </w:r>
      <w:r w:rsidR="00C2799F" w:rsidRPr="00DD4701">
        <w:rPr>
          <w:sz w:val="22"/>
          <w:szCs w:val="22"/>
        </w:rPr>
        <w:t xml:space="preserve">the number of </w:t>
      </w:r>
      <w:r w:rsidR="00387704" w:rsidRPr="00DD4701">
        <w:rPr>
          <w:sz w:val="22"/>
          <w:szCs w:val="22"/>
        </w:rPr>
        <w:t>past values</w:t>
      </w:r>
      <w:r w:rsidR="00387704" w:rsidRPr="00DD4701">
        <w:rPr>
          <w:sz w:val="22"/>
          <w:szCs w:val="22"/>
          <w:vertAlign w:val="superscript"/>
        </w:rPr>
        <w:footnoteReference w:id="3"/>
      </w:r>
      <w:r w:rsidR="00DE2149" w:rsidRPr="00DD4701">
        <w:rPr>
          <w:sz w:val="22"/>
          <w:szCs w:val="22"/>
        </w:rPr>
        <w:t xml:space="preserve"> included in </w:t>
      </w:r>
      <w:r w:rsidR="00E21957" w:rsidRPr="00DD4701">
        <w:rPr>
          <w:sz w:val="22"/>
          <w:szCs w:val="22"/>
        </w:rPr>
        <w:t xml:space="preserve">the moving </w:t>
      </w:r>
      <w:r w:rsidR="00E21957" w:rsidRPr="00DD4701">
        <w:rPr>
          <w:sz w:val="22"/>
          <w:szCs w:val="22"/>
        </w:rPr>
        <w:lastRenderedPageBreak/>
        <w:t>average</w:t>
      </w:r>
      <w:r w:rsidR="00E1009B" w:rsidRPr="00DD4701">
        <w:rPr>
          <w:sz w:val="22"/>
          <w:szCs w:val="22"/>
          <w:vertAlign w:val="superscript"/>
        </w:rPr>
        <w:footnoteReference w:id="4"/>
      </w:r>
      <w:r w:rsidR="00E21957" w:rsidRPr="00DD4701">
        <w:rPr>
          <w:sz w:val="22"/>
          <w:szCs w:val="22"/>
        </w:rPr>
        <w:t xml:space="preserve">. </w:t>
      </w:r>
      <w:r w:rsidR="00DD4701">
        <w:rPr>
          <w:sz w:val="22"/>
          <w:szCs w:val="22"/>
        </w:rPr>
        <w:t>Also n</w:t>
      </w:r>
      <w:r w:rsidR="005C25D9" w:rsidRPr="00DD4701">
        <w:rPr>
          <w:sz w:val="22"/>
          <w:szCs w:val="22"/>
        </w:rPr>
        <w:t xml:space="preserve">ote that a positive value for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j</m:t>
            </m:r>
          </m:sub>
        </m:sSub>
      </m:oMath>
      <w:r w:rsidR="005C25D9" w:rsidRPr="00DD4701">
        <w:rPr>
          <w:sz w:val="22"/>
          <w:szCs w:val="22"/>
        </w:rPr>
        <w:t xml:space="preserve"> implies that </w:t>
      </w:r>
      <w:r w:rsidR="00E21957" w:rsidRPr="00DD4701">
        <w:rPr>
          <w:sz w:val="22"/>
          <w:szCs w:val="22"/>
        </w:rPr>
        <w:t xml:space="preserve">an increase in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oMath>
      <w:r w:rsidR="00E21957" w:rsidRPr="00DD4701">
        <w:rPr>
          <w:sz w:val="22"/>
          <w:szCs w:val="22"/>
        </w:rPr>
        <w:t xml:space="preserve"> increases the probability of the home team winning.</w:t>
      </w:r>
    </w:p>
    <w:p w14:paraId="2DD52B61" w14:textId="3556BBB5" w:rsidR="00DD4701" w:rsidRDefault="007670F7" w:rsidP="007670F7">
      <w:pPr>
        <w:rPr>
          <w:sz w:val="22"/>
          <w:szCs w:val="22"/>
        </w:rPr>
      </w:pPr>
      <w:r w:rsidRPr="00DD4701">
        <w:rPr>
          <w:sz w:val="22"/>
          <w:szCs w:val="22"/>
        </w:rPr>
        <w:tab/>
      </w:r>
      <w:r w:rsidR="00A37260" w:rsidRPr="00DD4701">
        <w:rPr>
          <w:sz w:val="22"/>
          <w:szCs w:val="22"/>
        </w:rPr>
        <w:t>There are several</w:t>
      </w:r>
      <w:r w:rsidR="0059371F" w:rsidRPr="00DD4701">
        <w:rPr>
          <w:sz w:val="22"/>
          <w:szCs w:val="22"/>
        </w:rPr>
        <w:t xml:space="preserve"> things to emphasize here. First, notice that we use a moving </w:t>
      </w:r>
      <w:r w:rsidR="001B5B49">
        <w:rPr>
          <w:sz w:val="22"/>
          <w:szCs w:val="22"/>
        </w:rPr>
        <w:t>average of the statistics as</w:t>
      </w:r>
      <w:r w:rsidR="0059371F" w:rsidRPr="00DD4701">
        <w:rPr>
          <w:sz w:val="22"/>
          <w:szCs w:val="22"/>
        </w:rPr>
        <w:t xml:space="preserve"> predictors. This was done because it is an effective way to </w:t>
      </w:r>
      <w:r w:rsidR="001B5B49">
        <w:rPr>
          <w:sz w:val="22"/>
          <w:szCs w:val="22"/>
        </w:rPr>
        <w:t>reduce variance in short-term fluctuations and capture the true performance of a team</w:t>
      </w:r>
      <w:r w:rsidR="002A78F0" w:rsidRPr="00DD4701">
        <w:rPr>
          <w:sz w:val="22"/>
          <w:szCs w:val="22"/>
        </w:rPr>
        <w:t>. Consequently, w</w:t>
      </w:r>
      <w:r w:rsidR="0059371F" w:rsidRPr="00DD4701">
        <w:rPr>
          <w:sz w:val="22"/>
          <w:szCs w:val="22"/>
        </w:rPr>
        <w:t xml:space="preserve">e generated multiple versions of our predictors based on </w:t>
      </w:r>
      <w:r w:rsidR="002A78F0" w:rsidRPr="00D33FE1">
        <w:rPr>
          <w:sz w:val="22"/>
          <w:szCs w:val="22"/>
        </w:rPr>
        <w:t>(i)</w:t>
      </w:r>
      <w:r w:rsidR="002A78F0" w:rsidRPr="00DD4701">
        <w:rPr>
          <w:sz w:val="22"/>
          <w:szCs w:val="22"/>
        </w:rPr>
        <w:t xml:space="preserve"> different values of </w:t>
      </w:r>
      <m:oMath>
        <m:r>
          <w:rPr>
            <w:rFonts w:ascii="Cambria Math" w:hAnsi="Cambria Math"/>
            <w:sz w:val="22"/>
            <w:szCs w:val="22"/>
          </w:rPr>
          <m:t>n</m:t>
        </m:r>
      </m:oMath>
      <w:r w:rsidR="002A78F0" w:rsidRPr="00DD4701">
        <w:rPr>
          <w:sz w:val="22"/>
          <w:szCs w:val="22"/>
        </w:rPr>
        <w:t xml:space="preserve">, where </w:t>
      </w:r>
    </w:p>
    <w:p w14:paraId="1F73797F" w14:textId="77777777" w:rsidR="00DD4701" w:rsidRPr="00DD4701" w:rsidRDefault="00DD4701" w:rsidP="007670F7">
      <w:pPr>
        <w:rPr>
          <w:sz w:val="22"/>
          <w:szCs w:val="22"/>
        </w:rPr>
      </w:pPr>
    </w:p>
    <w:p w14:paraId="65EDFD6E" w14:textId="6B81DE83" w:rsidR="00DD4701" w:rsidRPr="00DD4701" w:rsidRDefault="00D33FE1" w:rsidP="002A78F0">
      <w:pPr>
        <w:jc w:val="center"/>
        <w:rPr>
          <w:sz w:val="22"/>
          <w:szCs w:val="22"/>
        </w:rPr>
      </w:pPr>
      <m:oMathPara>
        <m:oMath>
          <m:r>
            <w:rPr>
              <w:rFonts w:ascii="Cambria Math" w:hAnsi="Cambria Math"/>
              <w:sz w:val="22"/>
              <w:szCs w:val="22"/>
            </w:rPr>
            <m:t>n</m:t>
          </m:r>
          <m:r>
            <m:rPr>
              <m:sty m:val="p"/>
            </m:rPr>
            <w:rPr>
              <w:rFonts w:ascii="Cambria Math" w:hAnsi="Cambria Math"/>
              <w:sz w:val="22"/>
              <w:szCs w:val="22"/>
            </w:rPr>
            <m:t xml:space="preserve"> ϵ </m:t>
          </m:r>
          <m:d>
            <m:dPr>
              <m:begChr m:val="{"/>
              <m:endChr m:val="}"/>
              <m:ctrlPr>
                <w:rPr>
                  <w:rFonts w:ascii="Cambria Math" w:hAnsi="Cambria Math"/>
                  <w:sz w:val="22"/>
                  <w:szCs w:val="22"/>
                </w:rPr>
              </m:ctrlPr>
            </m:dPr>
            <m:e>
              <m:r>
                <m:rPr>
                  <m:sty m:val="p"/>
                </m:rPr>
                <w:rPr>
                  <w:rFonts w:ascii="Cambria Math" w:hAnsi="Cambria Math"/>
                  <w:sz w:val="22"/>
                  <w:szCs w:val="22"/>
                </w:rPr>
                <m:t>7,14,21,28,35</m:t>
              </m:r>
            </m:e>
          </m:d>
        </m:oMath>
      </m:oMathPara>
    </w:p>
    <w:p w14:paraId="2C08C405" w14:textId="77777777" w:rsidR="00DD4701" w:rsidRPr="00DD4701" w:rsidRDefault="00DD4701" w:rsidP="002A78F0">
      <w:pPr>
        <w:jc w:val="center"/>
        <w:rPr>
          <w:sz w:val="22"/>
          <w:szCs w:val="22"/>
        </w:rPr>
      </w:pPr>
    </w:p>
    <w:p w14:paraId="3720337D" w14:textId="7B89A99A" w:rsidR="002A78F0" w:rsidRPr="00DD4701" w:rsidRDefault="002A78F0" w:rsidP="007670F7">
      <w:pPr>
        <w:rPr>
          <w:sz w:val="22"/>
          <w:szCs w:val="22"/>
        </w:rPr>
      </w:pPr>
      <w:r w:rsidRPr="00DD4701">
        <w:rPr>
          <w:sz w:val="22"/>
          <w:szCs w:val="22"/>
        </w:rPr>
        <w:t xml:space="preserve">and (ii) two different methods of calculating the moving average: simple moving average (SMA) vs. exponential moving average (EMA). </w:t>
      </w:r>
    </w:p>
    <w:p w14:paraId="0D46B685" w14:textId="541D7408" w:rsidR="000032D4" w:rsidRDefault="002A78F0" w:rsidP="000032D4">
      <w:pPr>
        <w:ind w:firstLine="202"/>
        <w:rPr>
          <w:sz w:val="22"/>
          <w:szCs w:val="22"/>
        </w:rPr>
      </w:pPr>
      <w:r w:rsidRPr="00DD4701">
        <w:rPr>
          <w:sz w:val="22"/>
          <w:szCs w:val="22"/>
        </w:rPr>
        <w:t>Second, b</w:t>
      </w:r>
      <w:r w:rsidR="007670F7" w:rsidRPr="00DD4701">
        <w:rPr>
          <w:sz w:val="22"/>
          <w:szCs w:val="22"/>
        </w:rPr>
        <w:t>efore running the regressions we normalized the predictors (</w:t>
      </w:r>
      <w:r w:rsidRPr="00DD4701">
        <w:rPr>
          <w:sz w:val="22"/>
          <w:szCs w:val="22"/>
        </w:rPr>
        <w:t xml:space="preserve">i.e. </w:t>
      </w:r>
      <w:r w:rsidR="007670F7" w:rsidRPr="00DD4701">
        <w:rPr>
          <w:sz w:val="22"/>
          <w:szCs w:val="22"/>
        </w:rPr>
        <w:t>subtracted the mean and divided by the standard deviation)</w:t>
      </w:r>
      <w:r w:rsidR="00E21957" w:rsidRPr="00DD4701">
        <w:rPr>
          <w:sz w:val="22"/>
          <w:szCs w:val="22"/>
        </w:rPr>
        <w:t xml:space="preserve">. The normalization of predictors is usually unnecessary in regression, however, since </w:t>
      </w:r>
      <w:r w:rsidR="001B5B49">
        <w:rPr>
          <w:sz w:val="22"/>
          <w:szCs w:val="22"/>
        </w:rPr>
        <w:t>the goal is</w:t>
      </w:r>
      <w:r w:rsidR="00E21957" w:rsidRPr="00DD4701">
        <w:rPr>
          <w:sz w:val="22"/>
          <w:szCs w:val="22"/>
        </w:rPr>
        <w:t xml:space="preserve"> to determine the importance of the predictors relative to </w:t>
      </w:r>
      <w:r w:rsidR="001B5B49">
        <w:rPr>
          <w:sz w:val="22"/>
          <w:szCs w:val="22"/>
        </w:rPr>
        <w:t>each</w:t>
      </w:r>
      <w:r w:rsidR="00E21957" w:rsidRPr="00DD4701">
        <w:rPr>
          <w:sz w:val="22"/>
          <w:szCs w:val="22"/>
        </w:rPr>
        <w:t xml:space="preserve"> other, normalization is key. Normalization allows us to compare the magnitudes of the </w:t>
      </w:r>
      <m:oMath>
        <m:r>
          <w:rPr>
            <w:rFonts w:ascii="Cambria Math" w:hAnsi="Cambria Math"/>
            <w:sz w:val="22"/>
            <w:szCs w:val="22"/>
          </w:rPr>
          <m:t>β</m:t>
        </m:r>
      </m:oMath>
      <w:r w:rsidR="0059371F" w:rsidRPr="00DD4701">
        <w:rPr>
          <w:sz w:val="22"/>
          <w:szCs w:val="22"/>
        </w:rPr>
        <w:t xml:space="preserve"> vector</w:t>
      </w:r>
      <w:r w:rsidRPr="00DD4701">
        <w:rPr>
          <w:sz w:val="22"/>
          <w:szCs w:val="22"/>
        </w:rPr>
        <w:t>s generated for each statistic</w:t>
      </w:r>
      <w:r w:rsidR="0059371F" w:rsidRPr="00DD4701">
        <w:rPr>
          <w:sz w:val="22"/>
          <w:szCs w:val="22"/>
        </w:rPr>
        <w:t xml:space="preserve">. </w:t>
      </w:r>
      <w:r w:rsidR="00DD48D1">
        <w:rPr>
          <w:sz w:val="22"/>
          <w:szCs w:val="22"/>
        </w:rPr>
        <w:t xml:space="preserve">Table IV </w:t>
      </w:r>
      <w:r w:rsidR="006A6472" w:rsidRPr="00DD4701">
        <w:rPr>
          <w:sz w:val="22"/>
          <w:szCs w:val="22"/>
        </w:rPr>
        <w:t>below</w:t>
      </w:r>
      <w:r w:rsidR="00A37260" w:rsidRPr="00DD4701">
        <w:rPr>
          <w:sz w:val="22"/>
          <w:szCs w:val="22"/>
        </w:rPr>
        <w:t xml:space="preserve"> display the comparison of beta coefficients</w:t>
      </w:r>
      <w:r w:rsidR="006A6472" w:rsidRPr="00DD4701">
        <w:rPr>
          <w:sz w:val="22"/>
          <w:szCs w:val="22"/>
        </w:rPr>
        <w:t xml:space="preserve"> for </w:t>
      </w:r>
      <w:r w:rsidR="00590571" w:rsidRPr="00DD4701">
        <w:rPr>
          <w:sz w:val="22"/>
          <w:szCs w:val="22"/>
        </w:rPr>
        <w:t>a 21-game simple and exponential moving average, respectively:</w:t>
      </w:r>
    </w:p>
    <w:p w14:paraId="38644534" w14:textId="7E8A1256" w:rsidR="000032D4" w:rsidRDefault="000032D4" w:rsidP="000032D4">
      <w:pPr>
        <w:rPr>
          <w:sz w:val="22"/>
          <w:szCs w:val="22"/>
        </w:rPr>
      </w:pPr>
    </w:p>
    <w:tbl>
      <w:tblPr>
        <w:tblW w:w="0" w:type="auto"/>
        <w:tblInd w:w="108" w:type="dxa"/>
        <w:tblLook w:val="04A0" w:firstRow="1" w:lastRow="0" w:firstColumn="1" w:lastColumn="0" w:noHBand="0" w:noVBand="1"/>
      </w:tblPr>
      <w:tblGrid>
        <w:gridCol w:w="946"/>
        <w:gridCol w:w="1010"/>
        <w:gridCol w:w="1016"/>
        <w:gridCol w:w="1008"/>
        <w:gridCol w:w="864"/>
        <w:gridCol w:w="160"/>
      </w:tblGrid>
      <w:tr w:rsidR="001D0B1D" w:rsidRPr="001D0B1D" w14:paraId="497ED159" w14:textId="77777777" w:rsidTr="001D0B1D">
        <w:trPr>
          <w:trHeight w:val="380"/>
        </w:trPr>
        <w:tc>
          <w:tcPr>
            <w:tcW w:w="0" w:type="auto"/>
            <w:tcBorders>
              <w:top w:val="nil"/>
              <w:left w:val="nil"/>
              <w:bottom w:val="single" w:sz="12" w:space="0" w:color="FFFFFF"/>
              <w:right w:val="single" w:sz="4" w:space="0" w:color="FFFFFF"/>
            </w:tcBorders>
            <w:shd w:val="clear" w:color="F79646" w:fill="F79646"/>
            <w:noWrap/>
            <w:vAlign w:val="center"/>
            <w:hideMark/>
          </w:tcPr>
          <w:p w14:paraId="56B622AE" w14:textId="77777777" w:rsidR="001D0B1D" w:rsidRPr="001D0B1D" w:rsidRDefault="001D0B1D" w:rsidP="001D0B1D">
            <w:pPr>
              <w:autoSpaceDE/>
              <w:autoSpaceDN/>
              <w:jc w:val="center"/>
              <w:rPr>
                <w:rFonts w:ascii="Calibri" w:hAnsi="Calibri"/>
                <w:b/>
                <w:bCs/>
                <w:color w:val="FFFFFF"/>
                <w:sz w:val="18"/>
                <w:szCs w:val="18"/>
              </w:rPr>
            </w:pPr>
            <w:r w:rsidRPr="001D0B1D">
              <w:rPr>
                <w:rFonts w:ascii="Calibri" w:hAnsi="Calibri"/>
                <w:b/>
                <w:bCs/>
                <w:color w:val="FFFFFF"/>
                <w:sz w:val="18"/>
                <w:szCs w:val="18"/>
              </w:rPr>
              <w:t>Stat</w:t>
            </w:r>
          </w:p>
        </w:tc>
        <w:tc>
          <w:tcPr>
            <w:tcW w:w="0" w:type="auto"/>
            <w:tcBorders>
              <w:top w:val="nil"/>
              <w:left w:val="single" w:sz="4" w:space="0" w:color="FFFFFF"/>
              <w:bottom w:val="single" w:sz="12" w:space="0" w:color="FFFFFF"/>
              <w:right w:val="single" w:sz="4" w:space="0" w:color="FFFFFF"/>
            </w:tcBorders>
            <w:shd w:val="clear" w:color="F79646" w:fill="F79646"/>
            <w:vAlign w:val="center"/>
            <w:hideMark/>
          </w:tcPr>
          <w:p w14:paraId="245D5956" w14:textId="77777777" w:rsidR="001D0B1D" w:rsidRPr="001D0B1D" w:rsidRDefault="001D0B1D" w:rsidP="001D0B1D">
            <w:pPr>
              <w:autoSpaceDE/>
              <w:autoSpaceDN/>
              <w:jc w:val="center"/>
              <w:rPr>
                <w:rFonts w:ascii="Calibri" w:hAnsi="Calibri"/>
                <w:b/>
                <w:bCs/>
                <w:color w:val="FFFFFF"/>
                <w:sz w:val="18"/>
                <w:szCs w:val="18"/>
              </w:rPr>
            </w:pPr>
            <w:r w:rsidRPr="001D0B1D">
              <w:rPr>
                <w:rFonts w:ascii="Calibri" w:hAnsi="Calibri"/>
                <w:b/>
                <w:bCs/>
                <w:color w:val="FFFFFF"/>
                <w:sz w:val="18"/>
                <w:szCs w:val="18"/>
              </w:rPr>
              <w:t>beta_0 SMA (n = 21)</w:t>
            </w:r>
          </w:p>
        </w:tc>
        <w:tc>
          <w:tcPr>
            <w:tcW w:w="0" w:type="auto"/>
            <w:tcBorders>
              <w:top w:val="nil"/>
              <w:left w:val="single" w:sz="4" w:space="0" w:color="FFFFFF"/>
              <w:bottom w:val="single" w:sz="12" w:space="0" w:color="FFFFFF"/>
              <w:right w:val="single" w:sz="4" w:space="0" w:color="FFFFFF"/>
            </w:tcBorders>
            <w:shd w:val="clear" w:color="F79646" w:fill="F79646"/>
            <w:vAlign w:val="center"/>
            <w:hideMark/>
          </w:tcPr>
          <w:p w14:paraId="2C38EFD7" w14:textId="77777777" w:rsidR="001D0B1D" w:rsidRPr="001D0B1D" w:rsidRDefault="001D0B1D" w:rsidP="001D0B1D">
            <w:pPr>
              <w:autoSpaceDE/>
              <w:autoSpaceDN/>
              <w:jc w:val="center"/>
              <w:rPr>
                <w:rFonts w:ascii="Calibri" w:hAnsi="Calibri"/>
                <w:b/>
                <w:bCs/>
                <w:color w:val="FFFFFF"/>
                <w:sz w:val="18"/>
                <w:szCs w:val="18"/>
              </w:rPr>
            </w:pPr>
            <w:proofErr w:type="spellStart"/>
            <w:r w:rsidRPr="001D0B1D">
              <w:rPr>
                <w:rFonts w:ascii="Calibri" w:hAnsi="Calibri"/>
                <w:b/>
                <w:bCs/>
                <w:color w:val="FFFFFF"/>
                <w:sz w:val="18"/>
                <w:szCs w:val="18"/>
              </w:rPr>
              <w:t>beta_h</w:t>
            </w:r>
            <w:proofErr w:type="spellEnd"/>
            <w:r w:rsidRPr="001D0B1D">
              <w:rPr>
                <w:rFonts w:ascii="Calibri" w:hAnsi="Calibri"/>
                <w:b/>
                <w:bCs/>
                <w:color w:val="FFFFFF"/>
                <w:sz w:val="18"/>
                <w:szCs w:val="18"/>
              </w:rPr>
              <w:t xml:space="preserve"> SMA (n = 21)</w:t>
            </w:r>
          </w:p>
        </w:tc>
        <w:tc>
          <w:tcPr>
            <w:tcW w:w="0" w:type="auto"/>
            <w:tcBorders>
              <w:top w:val="nil"/>
              <w:left w:val="single" w:sz="4" w:space="0" w:color="FFFFFF"/>
              <w:bottom w:val="single" w:sz="12" w:space="0" w:color="FFFFFF"/>
              <w:right w:val="single" w:sz="4" w:space="0" w:color="FFFFFF"/>
            </w:tcBorders>
            <w:shd w:val="clear" w:color="F79646" w:fill="F79646"/>
            <w:vAlign w:val="center"/>
            <w:hideMark/>
          </w:tcPr>
          <w:p w14:paraId="1F55DC68" w14:textId="77777777" w:rsidR="001D0B1D" w:rsidRPr="001D0B1D" w:rsidRDefault="001D0B1D" w:rsidP="001D0B1D">
            <w:pPr>
              <w:autoSpaceDE/>
              <w:autoSpaceDN/>
              <w:jc w:val="center"/>
              <w:rPr>
                <w:rFonts w:ascii="Calibri" w:hAnsi="Calibri"/>
                <w:b/>
                <w:bCs/>
                <w:color w:val="FFFFFF"/>
                <w:sz w:val="18"/>
                <w:szCs w:val="18"/>
              </w:rPr>
            </w:pPr>
            <w:proofErr w:type="spellStart"/>
            <w:r w:rsidRPr="001D0B1D">
              <w:rPr>
                <w:rFonts w:ascii="Calibri" w:hAnsi="Calibri"/>
                <w:b/>
                <w:bCs/>
                <w:color w:val="FFFFFF"/>
                <w:sz w:val="18"/>
                <w:szCs w:val="18"/>
              </w:rPr>
              <w:t>beta_a</w:t>
            </w:r>
            <w:proofErr w:type="spellEnd"/>
            <w:r w:rsidRPr="001D0B1D">
              <w:rPr>
                <w:rFonts w:ascii="Calibri" w:hAnsi="Calibri"/>
                <w:b/>
                <w:bCs/>
                <w:color w:val="FFFFFF"/>
                <w:sz w:val="18"/>
                <w:szCs w:val="18"/>
              </w:rPr>
              <w:t xml:space="preserve"> SMA (n = 21)</w:t>
            </w:r>
          </w:p>
        </w:tc>
        <w:tc>
          <w:tcPr>
            <w:tcW w:w="1024" w:type="dxa"/>
            <w:gridSpan w:val="2"/>
            <w:tcBorders>
              <w:top w:val="nil"/>
              <w:left w:val="single" w:sz="4" w:space="0" w:color="FFFFFF"/>
              <w:bottom w:val="single" w:sz="12" w:space="0" w:color="FFFFFF"/>
              <w:right w:val="nil"/>
            </w:tcBorders>
            <w:shd w:val="clear" w:color="F79646" w:fill="F79646"/>
            <w:vAlign w:val="center"/>
            <w:hideMark/>
          </w:tcPr>
          <w:p w14:paraId="3BF53854" w14:textId="77777777" w:rsidR="001D0B1D" w:rsidRPr="001D0B1D" w:rsidRDefault="001D0B1D" w:rsidP="001D0B1D">
            <w:pPr>
              <w:autoSpaceDE/>
              <w:autoSpaceDN/>
              <w:jc w:val="center"/>
              <w:rPr>
                <w:rFonts w:ascii="Calibri" w:hAnsi="Calibri"/>
                <w:b/>
                <w:bCs/>
                <w:color w:val="FFFFFF"/>
                <w:sz w:val="18"/>
                <w:szCs w:val="18"/>
              </w:rPr>
            </w:pPr>
            <w:r w:rsidRPr="001D0B1D">
              <w:rPr>
                <w:rFonts w:ascii="Calibri" w:hAnsi="Calibri"/>
                <w:b/>
                <w:bCs/>
                <w:color w:val="FFFFFF"/>
                <w:sz w:val="18"/>
                <w:szCs w:val="18"/>
              </w:rPr>
              <w:t>beta magnitude</w:t>
            </w:r>
          </w:p>
        </w:tc>
      </w:tr>
      <w:tr w:rsidR="001D0B1D" w:rsidRPr="001D0B1D" w14:paraId="28FF9BD2"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CD5B4" w:fill="FCD5B4"/>
            <w:noWrap/>
            <w:vAlign w:val="center"/>
            <w:hideMark/>
          </w:tcPr>
          <w:p w14:paraId="21320D37"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PTS_diff</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1831AE35"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0.498</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44F4D5B6"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0.666</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7FB77244"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-0.621</w:t>
            </w:r>
          </w:p>
        </w:tc>
        <w:tc>
          <w:tcPr>
            <w:tcW w:w="1024" w:type="dxa"/>
            <w:gridSpan w:val="2"/>
            <w:tcBorders>
              <w:top w:val="single" w:sz="4" w:space="0" w:color="FFFFFF"/>
              <w:left w:val="single" w:sz="4" w:space="0" w:color="FFFFFF"/>
              <w:bottom w:val="single" w:sz="4" w:space="0" w:color="FFFFFF"/>
              <w:right w:val="nil"/>
            </w:tcBorders>
            <w:shd w:val="clear" w:color="000000" w:fill="FCD5B4"/>
            <w:noWrap/>
            <w:vAlign w:val="bottom"/>
            <w:hideMark/>
          </w:tcPr>
          <w:p w14:paraId="3BA7A206"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1.038</w:t>
            </w:r>
          </w:p>
        </w:tc>
      </w:tr>
      <w:tr w:rsidR="001D0B1D" w:rsidRPr="001D0B1D" w14:paraId="67C476A4"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DE9D9" w:fill="FDE9D9"/>
            <w:noWrap/>
            <w:vAlign w:val="center"/>
            <w:hideMark/>
          </w:tcPr>
          <w:p w14:paraId="71098062"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DEF_eff</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148F192E"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0.458</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50C5AAA3"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-0.498</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4A302082"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0.456</w:t>
            </w:r>
          </w:p>
        </w:tc>
        <w:tc>
          <w:tcPr>
            <w:tcW w:w="1024" w:type="dxa"/>
            <w:gridSpan w:val="2"/>
            <w:tcBorders>
              <w:top w:val="single" w:sz="4" w:space="0" w:color="FFFFFF"/>
              <w:left w:val="single" w:sz="4" w:space="0" w:color="FFFFFF"/>
              <w:bottom w:val="single" w:sz="4" w:space="0" w:color="FFFFFF"/>
              <w:right w:val="nil"/>
            </w:tcBorders>
            <w:shd w:val="clear" w:color="000000" w:fill="FCD5B4"/>
            <w:noWrap/>
            <w:vAlign w:val="bottom"/>
            <w:hideMark/>
          </w:tcPr>
          <w:p w14:paraId="335BE748"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0.816</w:t>
            </w:r>
          </w:p>
        </w:tc>
      </w:tr>
      <w:tr w:rsidR="001D0B1D" w:rsidRPr="001D0B1D" w14:paraId="3F573CF3"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CD5B4" w:fill="FCD5B4"/>
            <w:noWrap/>
            <w:vAlign w:val="center"/>
            <w:hideMark/>
          </w:tcPr>
          <w:p w14:paraId="77086856"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OFF_eff</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1897A7A0"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0.445</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0D066CAF"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0.463</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4A843AF5"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-0.431</w:t>
            </w:r>
          </w:p>
        </w:tc>
        <w:tc>
          <w:tcPr>
            <w:tcW w:w="1024" w:type="dxa"/>
            <w:gridSpan w:val="2"/>
            <w:tcBorders>
              <w:top w:val="single" w:sz="4" w:space="0" w:color="FFFFFF"/>
              <w:left w:val="single" w:sz="4" w:space="0" w:color="FFFFFF"/>
              <w:bottom w:val="single" w:sz="4" w:space="0" w:color="FFFFFF"/>
              <w:right w:val="nil"/>
            </w:tcBorders>
            <w:shd w:val="clear" w:color="000000" w:fill="FCD5B4"/>
            <w:noWrap/>
            <w:vAlign w:val="bottom"/>
            <w:hideMark/>
          </w:tcPr>
          <w:p w14:paraId="4DD6AA7C"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0.774</w:t>
            </w:r>
          </w:p>
        </w:tc>
      </w:tr>
      <w:tr w:rsidR="001D0B1D" w:rsidRPr="001D0B1D" w14:paraId="650B175B"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DE9D9" w:fill="FDE9D9"/>
            <w:noWrap/>
            <w:vAlign w:val="center"/>
            <w:hideMark/>
          </w:tcPr>
          <w:p w14:paraId="10CA1152"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FGP_adj</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33071E81"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0.437</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3329F8AE"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0.403</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6C35FF6E"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-0.379</w:t>
            </w:r>
          </w:p>
        </w:tc>
        <w:tc>
          <w:tcPr>
            <w:tcW w:w="1024" w:type="dxa"/>
            <w:gridSpan w:val="2"/>
            <w:tcBorders>
              <w:top w:val="single" w:sz="4" w:space="0" w:color="FFFFFF"/>
              <w:left w:val="single" w:sz="4" w:space="0" w:color="FFFFFF"/>
              <w:bottom w:val="single" w:sz="4" w:space="0" w:color="FFFFFF"/>
              <w:right w:val="nil"/>
            </w:tcBorders>
            <w:shd w:val="clear" w:color="000000" w:fill="FCD5B4"/>
            <w:noWrap/>
            <w:vAlign w:val="bottom"/>
            <w:hideMark/>
          </w:tcPr>
          <w:p w14:paraId="6E94FF17"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0.705</w:t>
            </w:r>
          </w:p>
        </w:tc>
      </w:tr>
      <w:tr w:rsidR="001D0B1D" w:rsidRPr="001D0B1D" w14:paraId="0BA83A3C"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CD5B4" w:fill="FCD5B4"/>
            <w:noWrap/>
            <w:vAlign w:val="center"/>
            <w:hideMark/>
          </w:tcPr>
          <w:p w14:paraId="758BDD97"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AST_ratio</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11C0DA67"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0.422</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2E874E4D"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0.273</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17D3B23F"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-0.211</w:t>
            </w:r>
          </w:p>
        </w:tc>
        <w:tc>
          <w:tcPr>
            <w:tcW w:w="1024" w:type="dxa"/>
            <w:gridSpan w:val="2"/>
            <w:tcBorders>
              <w:top w:val="single" w:sz="4" w:space="0" w:color="FFFFFF"/>
              <w:left w:val="single" w:sz="4" w:space="0" w:color="FFFFFF"/>
              <w:bottom w:val="single" w:sz="4" w:space="0" w:color="FFFFFF"/>
              <w:right w:val="nil"/>
            </w:tcBorders>
            <w:shd w:val="clear" w:color="000000" w:fill="FCD5B4"/>
            <w:noWrap/>
            <w:vAlign w:val="bottom"/>
            <w:hideMark/>
          </w:tcPr>
          <w:p w14:paraId="2F69DF4C"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0.545</w:t>
            </w:r>
          </w:p>
        </w:tc>
      </w:tr>
      <w:tr w:rsidR="001D0B1D" w:rsidRPr="001D0B1D" w14:paraId="3BA376A8"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DE9D9" w:fill="FDE9D9"/>
            <w:noWrap/>
            <w:vAlign w:val="center"/>
            <w:hideMark/>
          </w:tcPr>
          <w:p w14:paraId="4FCEB82F"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TO_rate</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487CB93E"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0.412</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73DB5504"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-0.185</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40595DF5"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0.207</w:t>
            </w:r>
          </w:p>
        </w:tc>
        <w:tc>
          <w:tcPr>
            <w:tcW w:w="1024" w:type="dxa"/>
            <w:gridSpan w:val="2"/>
            <w:tcBorders>
              <w:top w:val="single" w:sz="4" w:space="0" w:color="FFFFFF"/>
              <w:left w:val="single" w:sz="4" w:space="0" w:color="FFFFFF"/>
              <w:bottom w:val="single" w:sz="4" w:space="0" w:color="FFFFFF"/>
              <w:right w:val="nil"/>
            </w:tcBorders>
            <w:shd w:val="clear" w:color="000000" w:fill="FCD5B4"/>
            <w:noWrap/>
            <w:vAlign w:val="bottom"/>
            <w:hideMark/>
          </w:tcPr>
          <w:p w14:paraId="3F76623C"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0.497</w:t>
            </w:r>
          </w:p>
        </w:tc>
      </w:tr>
      <w:tr w:rsidR="001D0B1D" w:rsidRPr="001D0B1D" w14:paraId="6F3ADB82"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CD5B4" w:fill="FCD5B4"/>
            <w:noWrap/>
            <w:vAlign w:val="center"/>
            <w:hideMark/>
          </w:tcPr>
          <w:p w14:paraId="090BE33A"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OREB_p</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2818D388"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0.414</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5B77C95E"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-0.186</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14:paraId="1D75077F"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0.200</w:t>
            </w:r>
          </w:p>
        </w:tc>
        <w:tc>
          <w:tcPr>
            <w:tcW w:w="1024" w:type="dxa"/>
            <w:gridSpan w:val="2"/>
            <w:tcBorders>
              <w:top w:val="single" w:sz="4" w:space="0" w:color="FFFFFF"/>
              <w:left w:val="single" w:sz="4" w:space="0" w:color="FFFFFF"/>
              <w:bottom w:val="single" w:sz="4" w:space="0" w:color="FFFFFF"/>
              <w:right w:val="nil"/>
            </w:tcBorders>
            <w:shd w:val="clear" w:color="000000" w:fill="FCD5B4"/>
            <w:noWrap/>
            <w:vAlign w:val="bottom"/>
            <w:hideMark/>
          </w:tcPr>
          <w:p w14:paraId="2DAD5FA4"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0.496</w:t>
            </w:r>
          </w:p>
        </w:tc>
      </w:tr>
      <w:tr w:rsidR="001D0B1D" w:rsidRPr="001D0B1D" w14:paraId="5712B2C0"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DE9D9" w:fill="FDE9D9"/>
            <w:noWrap/>
            <w:vAlign w:val="center"/>
            <w:hideMark/>
          </w:tcPr>
          <w:p w14:paraId="40040EA0"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FT_rate</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76B1E876"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0.409</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222FFCFE"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0.162</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14:paraId="26095525"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-0.111</w:t>
            </w:r>
          </w:p>
        </w:tc>
        <w:tc>
          <w:tcPr>
            <w:tcW w:w="1024" w:type="dxa"/>
            <w:gridSpan w:val="2"/>
            <w:tcBorders>
              <w:top w:val="single" w:sz="4" w:space="0" w:color="FFFFFF"/>
              <w:left w:val="single" w:sz="4" w:space="0" w:color="FFFFFF"/>
              <w:bottom w:val="single" w:sz="4" w:space="0" w:color="FFFFFF"/>
              <w:right w:val="nil"/>
            </w:tcBorders>
            <w:shd w:val="clear" w:color="000000" w:fill="FCD5B4"/>
            <w:noWrap/>
            <w:vAlign w:val="bottom"/>
            <w:hideMark/>
          </w:tcPr>
          <w:p w14:paraId="4F14411C"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0.454</w:t>
            </w:r>
          </w:p>
        </w:tc>
      </w:tr>
      <w:tr w:rsidR="001D0B1D" w:rsidRPr="001D0B1D" w14:paraId="09108DA0" w14:textId="77777777" w:rsidTr="001D0B1D">
        <w:trPr>
          <w:trHeight w:val="320"/>
        </w:trPr>
        <w:tc>
          <w:tcPr>
            <w:tcW w:w="0" w:type="auto"/>
            <w:tcBorders>
              <w:top w:val="single" w:sz="4" w:space="0" w:color="FFFFFF"/>
              <w:left w:val="nil"/>
              <w:bottom w:val="nil"/>
              <w:right w:val="single" w:sz="4" w:space="0" w:color="FFFFFF"/>
            </w:tcBorders>
            <w:shd w:val="clear" w:color="FCD5B4" w:fill="FCD5B4"/>
            <w:noWrap/>
            <w:vAlign w:val="center"/>
            <w:hideMark/>
          </w:tcPr>
          <w:p w14:paraId="036058F4" w14:textId="77777777" w:rsidR="001D0B1D" w:rsidRPr="001D0B1D" w:rsidRDefault="001D0B1D" w:rsidP="001D0B1D">
            <w:pPr>
              <w:autoSpaceDE/>
              <w:autoSpaceDN/>
              <w:jc w:val="center"/>
              <w:rPr>
                <w:rFonts w:ascii="Calibri" w:hAnsi="Calibri"/>
                <w:b/>
                <w:bCs/>
                <w:color w:val="000000"/>
                <w:sz w:val="18"/>
                <w:szCs w:val="18"/>
              </w:rPr>
            </w:pPr>
            <w:r w:rsidRPr="001D0B1D">
              <w:rPr>
                <w:rFonts w:ascii="Calibri" w:hAnsi="Calibri"/>
                <w:b/>
                <w:bCs/>
                <w:color w:val="000000"/>
                <w:sz w:val="18"/>
                <w:szCs w:val="18"/>
              </w:rPr>
              <w:t>PACE</w:t>
            </w:r>
          </w:p>
        </w:tc>
        <w:tc>
          <w:tcPr>
            <w:tcW w:w="0" w:type="auto"/>
            <w:tcBorders>
              <w:top w:val="single" w:sz="4" w:space="0" w:color="FFFFFF"/>
              <w:left w:val="single" w:sz="4" w:space="0" w:color="FFFFFF"/>
              <w:bottom w:val="nil"/>
              <w:right w:val="single" w:sz="4" w:space="0" w:color="FFFFFF"/>
            </w:tcBorders>
            <w:shd w:val="clear" w:color="FCD5B4" w:fill="FCD5B4"/>
            <w:noWrap/>
            <w:vAlign w:val="bottom"/>
            <w:hideMark/>
          </w:tcPr>
          <w:p w14:paraId="22413D05"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0.406</w:t>
            </w:r>
          </w:p>
        </w:tc>
        <w:tc>
          <w:tcPr>
            <w:tcW w:w="0" w:type="auto"/>
            <w:tcBorders>
              <w:top w:val="single" w:sz="4" w:space="0" w:color="FFFFFF"/>
              <w:left w:val="single" w:sz="4" w:space="0" w:color="FFFFFF"/>
              <w:bottom w:val="nil"/>
              <w:right w:val="single" w:sz="4" w:space="0" w:color="FFFFFF"/>
            </w:tcBorders>
            <w:shd w:val="clear" w:color="FCD5B4" w:fill="FCD5B4"/>
            <w:noWrap/>
            <w:vAlign w:val="bottom"/>
            <w:hideMark/>
          </w:tcPr>
          <w:p w14:paraId="3BCE9B05"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-0.082</w:t>
            </w:r>
          </w:p>
        </w:tc>
        <w:tc>
          <w:tcPr>
            <w:tcW w:w="0" w:type="auto"/>
            <w:tcBorders>
              <w:top w:val="single" w:sz="4" w:space="0" w:color="FFFFFF"/>
              <w:left w:val="single" w:sz="4" w:space="0" w:color="FFFFFF"/>
              <w:bottom w:val="nil"/>
              <w:right w:val="single" w:sz="4" w:space="0" w:color="FFFFFF"/>
            </w:tcBorders>
            <w:shd w:val="clear" w:color="FCD5B4" w:fill="FCD5B4"/>
            <w:noWrap/>
            <w:vAlign w:val="bottom"/>
            <w:hideMark/>
          </w:tcPr>
          <w:p w14:paraId="001DDD1F"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0.069</w:t>
            </w:r>
          </w:p>
        </w:tc>
        <w:tc>
          <w:tcPr>
            <w:tcW w:w="1024" w:type="dxa"/>
            <w:gridSpan w:val="2"/>
            <w:tcBorders>
              <w:top w:val="single" w:sz="4" w:space="0" w:color="FFFFFF"/>
              <w:left w:val="single" w:sz="4" w:space="0" w:color="FFFFFF"/>
              <w:bottom w:val="nil"/>
              <w:right w:val="nil"/>
            </w:tcBorders>
            <w:shd w:val="clear" w:color="000000" w:fill="FCD5B4"/>
            <w:noWrap/>
            <w:vAlign w:val="bottom"/>
            <w:hideMark/>
          </w:tcPr>
          <w:p w14:paraId="14B89A9F"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0.420</w:t>
            </w:r>
          </w:p>
        </w:tc>
      </w:tr>
      <w:tr w:rsidR="001D0B1D" w:rsidRPr="001D0B1D" w14:paraId="47A61E5B" w14:textId="77777777" w:rsidTr="001D0B1D">
        <w:trPr>
          <w:trHeight w:val="400"/>
        </w:trPr>
        <w:tc>
          <w:tcPr>
            <w:tcW w:w="0" w:type="auto"/>
            <w:tcBorders>
              <w:top w:val="nil"/>
              <w:left w:val="nil"/>
              <w:bottom w:val="single" w:sz="12" w:space="0" w:color="FFFFFF"/>
              <w:right w:val="single" w:sz="4" w:space="0" w:color="FFFFFF"/>
            </w:tcBorders>
            <w:shd w:val="clear" w:color="F79646" w:fill="F79646"/>
            <w:noWrap/>
            <w:vAlign w:val="center"/>
            <w:hideMark/>
          </w:tcPr>
          <w:p w14:paraId="5B15D606" w14:textId="77777777" w:rsidR="001D0B1D" w:rsidRPr="001D0B1D" w:rsidRDefault="001D0B1D" w:rsidP="001D0B1D">
            <w:pPr>
              <w:autoSpaceDE/>
              <w:autoSpaceDN/>
              <w:jc w:val="center"/>
              <w:rPr>
                <w:rFonts w:ascii="Calibri" w:hAnsi="Calibri"/>
                <w:b/>
                <w:bCs/>
                <w:color w:val="FFFFFF"/>
                <w:sz w:val="18"/>
                <w:szCs w:val="18"/>
              </w:rPr>
            </w:pPr>
            <w:r w:rsidRPr="001D0B1D">
              <w:rPr>
                <w:rFonts w:ascii="Calibri" w:hAnsi="Calibri"/>
                <w:b/>
                <w:bCs/>
                <w:color w:val="FFFFFF"/>
                <w:sz w:val="18"/>
                <w:szCs w:val="18"/>
              </w:rPr>
              <w:t>Stat</w:t>
            </w:r>
          </w:p>
        </w:tc>
        <w:tc>
          <w:tcPr>
            <w:tcW w:w="0" w:type="auto"/>
            <w:tcBorders>
              <w:top w:val="nil"/>
              <w:left w:val="single" w:sz="4" w:space="0" w:color="FFFFFF"/>
              <w:bottom w:val="single" w:sz="12" w:space="0" w:color="FFFFFF"/>
              <w:right w:val="single" w:sz="4" w:space="0" w:color="FFFFFF"/>
            </w:tcBorders>
            <w:shd w:val="clear" w:color="F79646" w:fill="F79646"/>
            <w:vAlign w:val="center"/>
            <w:hideMark/>
          </w:tcPr>
          <w:p w14:paraId="6FC0783A" w14:textId="77777777" w:rsidR="001D0B1D" w:rsidRPr="001D0B1D" w:rsidRDefault="001D0B1D" w:rsidP="001D0B1D">
            <w:pPr>
              <w:autoSpaceDE/>
              <w:autoSpaceDN/>
              <w:jc w:val="center"/>
              <w:rPr>
                <w:rFonts w:ascii="Calibri" w:hAnsi="Calibri"/>
                <w:b/>
                <w:bCs/>
                <w:color w:val="FFFFFF"/>
                <w:sz w:val="18"/>
                <w:szCs w:val="18"/>
              </w:rPr>
            </w:pPr>
            <w:r w:rsidRPr="001D0B1D">
              <w:rPr>
                <w:rFonts w:ascii="Calibri" w:hAnsi="Calibri"/>
                <w:b/>
                <w:bCs/>
                <w:color w:val="FFFFFF"/>
                <w:sz w:val="18"/>
                <w:szCs w:val="18"/>
              </w:rPr>
              <w:t>beta_0 EMA (n = 21)</w:t>
            </w:r>
          </w:p>
        </w:tc>
        <w:tc>
          <w:tcPr>
            <w:tcW w:w="0" w:type="auto"/>
            <w:tcBorders>
              <w:top w:val="nil"/>
              <w:left w:val="single" w:sz="4" w:space="0" w:color="FFFFFF"/>
              <w:bottom w:val="single" w:sz="12" w:space="0" w:color="FFFFFF"/>
              <w:right w:val="single" w:sz="4" w:space="0" w:color="FFFFFF"/>
            </w:tcBorders>
            <w:shd w:val="clear" w:color="F79646" w:fill="F79646"/>
            <w:vAlign w:val="center"/>
            <w:hideMark/>
          </w:tcPr>
          <w:p w14:paraId="45D1497F" w14:textId="77777777" w:rsidR="001D0B1D" w:rsidRPr="001D0B1D" w:rsidRDefault="001D0B1D" w:rsidP="001D0B1D">
            <w:pPr>
              <w:autoSpaceDE/>
              <w:autoSpaceDN/>
              <w:jc w:val="center"/>
              <w:rPr>
                <w:rFonts w:ascii="Calibri" w:hAnsi="Calibri"/>
                <w:b/>
                <w:bCs/>
                <w:color w:val="FFFFFF"/>
                <w:sz w:val="18"/>
                <w:szCs w:val="18"/>
              </w:rPr>
            </w:pPr>
            <w:proofErr w:type="spellStart"/>
            <w:r w:rsidRPr="001D0B1D">
              <w:rPr>
                <w:rFonts w:ascii="Calibri" w:hAnsi="Calibri"/>
                <w:b/>
                <w:bCs/>
                <w:color w:val="FFFFFF"/>
                <w:sz w:val="18"/>
                <w:szCs w:val="18"/>
              </w:rPr>
              <w:t>beta_h</w:t>
            </w:r>
            <w:proofErr w:type="spellEnd"/>
            <w:r w:rsidRPr="001D0B1D">
              <w:rPr>
                <w:rFonts w:ascii="Calibri" w:hAnsi="Calibri"/>
                <w:b/>
                <w:bCs/>
                <w:color w:val="FFFFFF"/>
                <w:sz w:val="18"/>
                <w:szCs w:val="18"/>
              </w:rPr>
              <w:t xml:space="preserve"> EMA (n = 21)</w:t>
            </w:r>
          </w:p>
        </w:tc>
        <w:tc>
          <w:tcPr>
            <w:tcW w:w="0" w:type="auto"/>
            <w:tcBorders>
              <w:top w:val="nil"/>
              <w:left w:val="single" w:sz="4" w:space="0" w:color="FFFFFF"/>
              <w:bottom w:val="single" w:sz="12" w:space="0" w:color="FFFFFF"/>
              <w:right w:val="single" w:sz="4" w:space="0" w:color="FFFFFF"/>
            </w:tcBorders>
            <w:shd w:val="clear" w:color="F79646" w:fill="F79646"/>
            <w:vAlign w:val="center"/>
            <w:hideMark/>
          </w:tcPr>
          <w:p w14:paraId="08FD73DE" w14:textId="77777777" w:rsidR="001D0B1D" w:rsidRPr="001D0B1D" w:rsidRDefault="001D0B1D" w:rsidP="001D0B1D">
            <w:pPr>
              <w:autoSpaceDE/>
              <w:autoSpaceDN/>
              <w:jc w:val="center"/>
              <w:rPr>
                <w:rFonts w:ascii="Calibri" w:hAnsi="Calibri"/>
                <w:b/>
                <w:bCs/>
                <w:color w:val="FFFFFF"/>
                <w:sz w:val="18"/>
                <w:szCs w:val="18"/>
              </w:rPr>
            </w:pPr>
            <w:proofErr w:type="spellStart"/>
            <w:r w:rsidRPr="001D0B1D">
              <w:rPr>
                <w:rFonts w:ascii="Calibri" w:hAnsi="Calibri"/>
                <w:b/>
                <w:bCs/>
                <w:color w:val="FFFFFF"/>
                <w:sz w:val="18"/>
                <w:szCs w:val="18"/>
              </w:rPr>
              <w:t>beta_a</w:t>
            </w:r>
            <w:proofErr w:type="spellEnd"/>
            <w:r w:rsidRPr="001D0B1D">
              <w:rPr>
                <w:rFonts w:ascii="Calibri" w:hAnsi="Calibri"/>
                <w:b/>
                <w:bCs/>
                <w:color w:val="FFFFFF"/>
                <w:sz w:val="18"/>
                <w:szCs w:val="18"/>
              </w:rPr>
              <w:t xml:space="preserve"> EMA (n = 21)</w:t>
            </w:r>
          </w:p>
        </w:tc>
        <w:tc>
          <w:tcPr>
            <w:tcW w:w="1024" w:type="dxa"/>
            <w:gridSpan w:val="2"/>
            <w:tcBorders>
              <w:top w:val="nil"/>
              <w:left w:val="single" w:sz="4" w:space="0" w:color="FFFFFF"/>
              <w:bottom w:val="single" w:sz="12" w:space="0" w:color="FFFFFF"/>
              <w:right w:val="nil"/>
            </w:tcBorders>
            <w:shd w:val="clear" w:color="F79646" w:fill="F79646"/>
            <w:vAlign w:val="center"/>
            <w:hideMark/>
          </w:tcPr>
          <w:p w14:paraId="7E52C03F" w14:textId="77777777" w:rsidR="001D0B1D" w:rsidRPr="001D0B1D" w:rsidRDefault="001D0B1D" w:rsidP="001D0B1D">
            <w:pPr>
              <w:autoSpaceDE/>
              <w:autoSpaceDN/>
              <w:jc w:val="center"/>
              <w:rPr>
                <w:rFonts w:ascii="Calibri" w:hAnsi="Calibri"/>
                <w:b/>
                <w:bCs/>
                <w:color w:val="FFFFFF"/>
                <w:sz w:val="18"/>
                <w:szCs w:val="18"/>
              </w:rPr>
            </w:pPr>
            <w:r w:rsidRPr="001D0B1D">
              <w:rPr>
                <w:rFonts w:ascii="Calibri" w:hAnsi="Calibri"/>
                <w:b/>
                <w:bCs/>
                <w:color w:val="FFFFFF"/>
                <w:sz w:val="18"/>
                <w:szCs w:val="18"/>
              </w:rPr>
              <w:t>beta magnitude</w:t>
            </w:r>
          </w:p>
        </w:tc>
      </w:tr>
      <w:tr w:rsidR="001D0B1D" w:rsidRPr="001D0B1D" w14:paraId="1E061FC9"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CD5B4" w:fill="FCD5B4"/>
            <w:noWrap/>
            <w:vAlign w:val="center"/>
            <w:hideMark/>
          </w:tcPr>
          <w:p w14:paraId="4AE7716F"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PTS_diff</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2BF78A24"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0.499</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527B403F"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0.680</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5D5CA16D"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-0.629</w:t>
            </w:r>
          </w:p>
        </w:tc>
        <w:tc>
          <w:tcPr>
            <w:tcW w:w="1024" w:type="dxa"/>
            <w:gridSpan w:val="2"/>
            <w:tcBorders>
              <w:top w:val="single" w:sz="4" w:space="0" w:color="FFFFFF"/>
              <w:left w:val="single" w:sz="4" w:space="0" w:color="FFFFFF"/>
              <w:bottom w:val="single" w:sz="4" w:space="0" w:color="FFFFFF"/>
              <w:right w:val="nil"/>
            </w:tcBorders>
            <w:shd w:val="clear" w:color="FCD5B4" w:fill="FCD5B4"/>
            <w:noWrap/>
            <w:vAlign w:val="center"/>
            <w:hideMark/>
          </w:tcPr>
          <w:p w14:paraId="45A9CC0E"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1.052</w:t>
            </w:r>
          </w:p>
        </w:tc>
      </w:tr>
      <w:tr w:rsidR="001D0B1D" w:rsidRPr="001D0B1D" w14:paraId="5787505D"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DE9D9" w:fill="FDE9D9"/>
            <w:noWrap/>
            <w:vAlign w:val="center"/>
            <w:hideMark/>
          </w:tcPr>
          <w:p w14:paraId="6BFE2EAB"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DEF_eff</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11514F5C"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0.457</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775E2C00"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-0.492</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72CAE2F3"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0.446</w:t>
            </w:r>
          </w:p>
        </w:tc>
        <w:tc>
          <w:tcPr>
            <w:tcW w:w="1024" w:type="dxa"/>
            <w:gridSpan w:val="2"/>
            <w:tcBorders>
              <w:top w:val="nil"/>
              <w:left w:val="single" w:sz="4" w:space="0" w:color="FFFFFF"/>
              <w:bottom w:val="single" w:sz="4" w:space="0" w:color="FFFFFF"/>
              <w:right w:val="nil"/>
            </w:tcBorders>
            <w:shd w:val="clear" w:color="FCD5B4" w:fill="FCD5B4"/>
            <w:noWrap/>
            <w:vAlign w:val="center"/>
            <w:hideMark/>
          </w:tcPr>
          <w:p w14:paraId="6C71744B"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0.806</w:t>
            </w:r>
          </w:p>
        </w:tc>
      </w:tr>
      <w:tr w:rsidR="001D0B1D" w:rsidRPr="001D0B1D" w14:paraId="2C7BBC93"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CD5B4" w:fill="FCD5B4"/>
            <w:noWrap/>
            <w:vAlign w:val="center"/>
            <w:hideMark/>
          </w:tcPr>
          <w:p w14:paraId="7D22E802"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OFF_eff</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3F2B87F7"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0.445</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040BF6A9"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0.482</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5A026265"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-0.452</w:t>
            </w:r>
          </w:p>
        </w:tc>
        <w:tc>
          <w:tcPr>
            <w:tcW w:w="1024" w:type="dxa"/>
            <w:gridSpan w:val="2"/>
            <w:tcBorders>
              <w:top w:val="nil"/>
              <w:left w:val="single" w:sz="4" w:space="0" w:color="FFFFFF"/>
              <w:bottom w:val="single" w:sz="4" w:space="0" w:color="FFFFFF"/>
              <w:right w:val="nil"/>
            </w:tcBorders>
            <w:shd w:val="clear" w:color="FCD5B4" w:fill="FCD5B4"/>
            <w:noWrap/>
            <w:vAlign w:val="center"/>
            <w:hideMark/>
          </w:tcPr>
          <w:p w14:paraId="2885B4F4"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0.797</w:t>
            </w:r>
          </w:p>
        </w:tc>
      </w:tr>
      <w:tr w:rsidR="001D0B1D" w:rsidRPr="001D0B1D" w14:paraId="7D35BD57" w14:textId="77777777" w:rsidTr="001D0B1D">
        <w:trPr>
          <w:trHeight w:val="320"/>
        </w:trPr>
        <w:tc>
          <w:tcPr>
            <w:tcW w:w="0" w:type="auto"/>
            <w:tcBorders>
              <w:top w:val="single" w:sz="4" w:space="0" w:color="FFFFFF"/>
              <w:left w:val="nil"/>
              <w:bottom w:val="single" w:sz="4" w:space="0" w:color="FFFFFF"/>
              <w:right w:val="single" w:sz="4" w:space="0" w:color="FFFFFF"/>
            </w:tcBorders>
            <w:shd w:val="clear" w:color="FDE9D9" w:fill="FDE9D9"/>
            <w:noWrap/>
            <w:vAlign w:val="center"/>
            <w:hideMark/>
          </w:tcPr>
          <w:p w14:paraId="21FE1544"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FGP_adj</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2B829E95"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0.437</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4D0A7B8A"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0.421</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26324CED"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-0.404</w:t>
            </w:r>
          </w:p>
        </w:tc>
        <w:tc>
          <w:tcPr>
            <w:tcW w:w="1024" w:type="dxa"/>
            <w:gridSpan w:val="2"/>
            <w:tcBorders>
              <w:top w:val="nil"/>
              <w:left w:val="single" w:sz="4" w:space="0" w:color="FFFFFF"/>
              <w:bottom w:val="single" w:sz="4" w:space="0" w:color="FFFFFF"/>
              <w:right w:val="nil"/>
            </w:tcBorders>
            <w:shd w:val="clear" w:color="FCD5B4" w:fill="FCD5B4"/>
            <w:noWrap/>
            <w:vAlign w:val="center"/>
            <w:hideMark/>
          </w:tcPr>
          <w:p w14:paraId="72BDFA3C"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0.729</w:t>
            </w:r>
          </w:p>
        </w:tc>
      </w:tr>
      <w:tr w:rsidR="001D0B1D" w:rsidRPr="001D0B1D" w14:paraId="0F52CEF9" w14:textId="77777777" w:rsidTr="001D0B1D">
        <w:trPr>
          <w:gridAfter w:val="1"/>
          <w:wAfter w:w="160" w:type="dxa"/>
          <w:trHeight w:val="320"/>
        </w:trPr>
        <w:tc>
          <w:tcPr>
            <w:tcW w:w="0" w:type="auto"/>
            <w:tcBorders>
              <w:top w:val="single" w:sz="4" w:space="0" w:color="FFFFFF"/>
              <w:left w:val="nil"/>
              <w:bottom w:val="single" w:sz="4" w:space="0" w:color="FFFFFF"/>
              <w:right w:val="single" w:sz="4" w:space="0" w:color="FFFFFF"/>
            </w:tcBorders>
            <w:shd w:val="clear" w:color="FCD5B4" w:fill="FCD5B4"/>
            <w:noWrap/>
            <w:vAlign w:val="center"/>
            <w:hideMark/>
          </w:tcPr>
          <w:p w14:paraId="11ADA207"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lastRenderedPageBreak/>
              <w:t>AST_ratio</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4D2D9DEA"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0.422</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6A0FFCC3"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0.277</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0260AE1E"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-0.233</w:t>
            </w:r>
          </w:p>
        </w:tc>
        <w:tc>
          <w:tcPr>
            <w:tcW w:w="864" w:type="dxa"/>
            <w:tcBorders>
              <w:top w:val="nil"/>
              <w:left w:val="single" w:sz="4" w:space="0" w:color="FFFFFF"/>
              <w:bottom w:val="single" w:sz="4" w:space="0" w:color="FFFFFF"/>
              <w:right w:val="nil"/>
            </w:tcBorders>
            <w:shd w:val="clear" w:color="FCD5B4" w:fill="FCD5B4"/>
            <w:noWrap/>
            <w:vAlign w:val="center"/>
            <w:hideMark/>
          </w:tcPr>
          <w:p w14:paraId="5204703E"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0.556</w:t>
            </w:r>
          </w:p>
        </w:tc>
      </w:tr>
      <w:tr w:rsidR="001D0B1D" w:rsidRPr="001D0B1D" w14:paraId="1C928690" w14:textId="77777777" w:rsidTr="001D0B1D">
        <w:trPr>
          <w:gridAfter w:val="1"/>
          <w:wAfter w:w="160" w:type="dxa"/>
          <w:trHeight w:val="320"/>
        </w:trPr>
        <w:tc>
          <w:tcPr>
            <w:tcW w:w="0" w:type="auto"/>
            <w:tcBorders>
              <w:top w:val="single" w:sz="4" w:space="0" w:color="FFFFFF"/>
              <w:left w:val="nil"/>
              <w:bottom w:val="single" w:sz="4" w:space="0" w:color="FFFFFF"/>
              <w:right w:val="single" w:sz="4" w:space="0" w:color="FFFFFF"/>
            </w:tcBorders>
            <w:shd w:val="clear" w:color="FDE9D9" w:fill="FDE9D9"/>
            <w:noWrap/>
            <w:vAlign w:val="center"/>
            <w:hideMark/>
          </w:tcPr>
          <w:p w14:paraId="76DAE5C5"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TO_rate</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46ADA310"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0.412</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0E557741"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-0.188</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7FCCB54D"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0.209</w:t>
            </w:r>
          </w:p>
        </w:tc>
        <w:tc>
          <w:tcPr>
            <w:tcW w:w="864" w:type="dxa"/>
            <w:tcBorders>
              <w:top w:val="nil"/>
              <w:left w:val="single" w:sz="4" w:space="0" w:color="FFFFFF"/>
              <w:bottom w:val="single" w:sz="4" w:space="0" w:color="FFFFFF"/>
              <w:right w:val="nil"/>
            </w:tcBorders>
            <w:shd w:val="clear" w:color="FCD5B4" w:fill="FCD5B4"/>
            <w:noWrap/>
            <w:vAlign w:val="center"/>
            <w:hideMark/>
          </w:tcPr>
          <w:p w14:paraId="6B54501E"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0.499</w:t>
            </w:r>
          </w:p>
        </w:tc>
      </w:tr>
      <w:tr w:rsidR="001D0B1D" w:rsidRPr="001D0B1D" w14:paraId="1412D316" w14:textId="77777777" w:rsidTr="001D0B1D">
        <w:trPr>
          <w:gridAfter w:val="1"/>
          <w:wAfter w:w="160" w:type="dxa"/>
          <w:trHeight w:val="320"/>
        </w:trPr>
        <w:tc>
          <w:tcPr>
            <w:tcW w:w="0" w:type="auto"/>
            <w:tcBorders>
              <w:top w:val="single" w:sz="4" w:space="0" w:color="FFFFFF"/>
              <w:left w:val="nil"/>
              <w:bottom w:val="single" w:sz="4" w:space="0" w:color="FFFFFF"/>
              <w:right w:val="single" w:sz="4" w:space="0" w:color="FFFFFF"/>
            </w:tcBorders>
            <w:shd w:val="clear" w:color="FCD5B4" w:fill="FCD5B4"/>
            <w:noWrap/>
            <w:vAlign w:val="center"/>
            <w:hideMark/>
          </w:tcPr>
          <w:p w14:paraId="3C40F8F0"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OREB_p</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239AD2A0"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0.414</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058F09E3"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-0.187</w:t>
            </w:r>
          </w:p>
        </w:tc>
        <w:tc>
          <w:tcPr>
            <w:tcW w:w="0" w:type="auto"/>
            <w:tcBorders>
              <w:top w:val="single" w:sz="4" w:space="0" w:color="FFFFFF"/>
              <w:left w:val="single" w:sz="4" w:space="0" w:color="FFFFFF"/>
              <w:bottom w:val="single" w:sz="4" w:space="0" w:color="FFFFFF"/>
              <w:right w:val="single" w:sz="4" w:space="0" w:color="FFFFFF"/>
            </w:tcBorders>
            <w:shd w:val="clear" w:color="FCD5B4" w:fill="FCD5B4"/>
            <w:noWrap/>
            <w:vAlign w:val="center"/>
            <w:hideMark/>
          </w:tcPr>
          <w:p w14:paraId="5B7B010F"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0.205</w:t>
            </w:r>
          </w:p>
        </w:tc>
        <w:tc>
          <w:tcPr>
            <w:tcW w:w="864" w:type="dxa"/>
            <w:tcBorders>
              <w:top w:val="nil"/>
              <w:left w:val="single" w:sz="4" w:space="0" w:color="FFFFFF"/>
              <w:bottom w:val="single" w:sz="4" w:space="0" w:color="FFFFFF"/>
              <w:right w:val="nil"/>
            </w:tcBorders>
            <w:shd w:val="clear" w:color="FCD5B4" w:fill="FCD5B4"/>
            <w:noWrap/>
            <w:vAlign w:val="center"/>
            <w:hideMark/>
          </w:tcPr>
          <w:p w14:paraId="18E4941D"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0.498</w:t>
            </w:r>
          </w:p>
        </w:tc>
      </w:tr>
      <w:tr w:rsidR="001D0B1D" w:rsidRPr="001D0B1D" w14:paraId="168D8EF3" w14:textId="77777777" w:rsidTr="001D0B1D">
        <w:trPr>
          <w:gridAfter w:val="1"/>
          <w:wAfter w:w="160" w:type="dxa"/>
          <w:trHeight w:val="320"/>
        </w:trPr>
        <w:tc>
          <w:tcPr>
            <w:tcW w:w="0" w:type="auto"/>
            <w:tcBorders>
              <w:top w:val="single" w:sz="4" w:space="0" w:color="FFFFFF"/>
              <w:left w:val="nil"/>
              <w:bottom w:val="single" w:sz="4" w:space="0" w:color="FFFFFF"/>
              <w:right w:val="single" w:sz="4" w:space="0" w:color="FFFFFF"/>
            </w:tcBorders>
            <w:shd w:val="clear" w:color="FDE9D9" w:fill="FDE9D9"/>
            <w:noWrap/>
            <w:vAlign w:val="center"/>
            <w:hideMark/>
          </w:tcPr>
          <w:p w14:paraId="3138AF76" w14:textId="77777777" w:rsidR="001D0B1D" w:rsidRPr="001D0B1D" w:rsidRDefault="001D0B1D" w:rsidP="001D0B1D">
            <w:pPr>
              <w:autoSpaceDE/>
              <w:autoSpaceDN/>
              <w:jc w:val="center"/>
              <w:rPr>
                <w:rFonts w:ascii="Calibri" w:hAnsi="Calibri"/>
                <w:b/>
                <w:bCs/>
                <w:color w:val="000000"/>
                <w:sz w:val="18"/>
                <w:szCs w:val="18"/>
              </w:rPr>
            </w:pPr>
            <w:proofErr w:type="spellStart"/>
            <w:r w:rsidRPr="001D0B1D">
              <w:rPr>
                <w:rFonts w:ascii="Calibri" w:hAnsi="Calibri"/>
                <w:b/>
                <w:bCs/>
                <w:color w:val="000000"/>
                <w:sz w:val="18"/>
                <w:szCs w:val="18"/>
              </w:rPr>
              <w:t>FT_rate</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66B00BBF"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0.410</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0ABF7BFA"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0.174</w:t>
            </w:r>
          </w:p>
        </w:tc>
        <w:tc>
          <w:tcPr>
            <w:tcW w:w="0" w:type="auto"/>
            <w:tcBorders>
              <w:top w:val="single" w:sz="4" w:space="0" w:color="FFFFFF"/>
              <w:left w:val="single" w:sz="4" w:space="0" w:color="FFFFFF"/>
              <w:bottom w:val="single" w:sz="4" w:space="0" w:color="FFFFFF"/>
              <w:right w:val="single" w:sz="4" w:space="0" w:color="FFFFFF"/>
            </w:tcBorders>
            <w:shd w:val="clear" w:color="FDE9D9" w:fill="FDE9D9"/>
            <w:noWrap/>
            <w:vAlign w:val="center"/>
            <w:hideMark/>
          </w:tcPr>
          <w:p w14:paraId="6F03D446"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-0.118</w:t>
            </w:r>
          </w:p>
        </w:tc>
        <w:tc>
          <w:tcPr>
            <w:tcW w:w="864" w:type="dxa"/>
            <w:tcBorders>
              <w:top w:val="nil"/>
              <w:left w:val="single" w:sz="4" w:space="0" w:color="FFFFFF"/>
              <w:bottom w:val="single" w:sz="4" w:space="0" w:color="FFFFFF"/>
              <w:right w:val="nil"/>
            </w:tcBorders>
            <w:shd w:val="clear" w:color="FCD5B4" w:fill="FCD5B4"/>
            <w:noWrap/>
            <w:vAlign w:val="center"/>
            <w:hideMark/>
          </w:tcPr>
          <w:p w14:paraId="00F372F3"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0.461</w:t>
            </w:r>
          </w:p>
        </w:tc>
      </w:tr>
      <w:tr w:rsidR="001D0B1D" w:rsidRPr="001D0B1D" w14:paraId="1416742B" w14:textId="77777777" w:rsidTr="001D0B1D">
        <w:trPr>
          <w:gridAfter w:val="1"/>
          <w:wAfter w:w="160" w:type="dxa"/>
          <w:trHeight w:val="320"/>
        </w:trPr>
        <w:tc>
          <w:tcPr>
            <w:tcW w:w="0" w:type="auto"/>
            <w:tcBorders>
              <w:top w:val="single" w:sz="4" w:space="0" w:color="FFFFFF"/>
              <w:left w:val="nil"/>
              <w:bottom w:val="nil"/>
              <w:right w:val="single" w:sz="4" w:space="0" w:color="FFFFFF"/>
            </w:tcBorders>
            <w:shd w:val="clear" w:color="FCD5B4" w:fill="FCD5B4"/>
            <w:noWrap/>
            <w:vAlign w:val="center"/>
            <w:hideMark/>
          </w:tcPr>
          <w:p w14:paraId="4FB1BC5F" w14:textId="77777777" w:rsidR="001D0B1D" w:rsidRPr="001D0B1D" w:rsidRDefault="001D0B1D" w:rsidP="001D0B1D">
            <w:pPr>
              <w:autoSpaceDE/>
              <w:autoSpaceDN/>
              <w:jc w:val="center"/>
              <w:rPr>
                <w:rFonts w:ascii="Calibri" w:hAnsi="Calibri"/>
                <w:b/>
                <w:bCs/>
                <w:color w:val="000000"/>
                <w:sz w:val="18"/>
                <w:szCs w:val="18"/>
              </w:rPr>
            </w:pPr>
            <w:r w:rsidRPr="001D0B1D">
              <w:rPr>
                <w:rFonts w:ascii="Calibri" w:hAnsi="Calibri"/>
                <w:b/>
                <w:bCs/>
                <w:color w:val="000000"/>
                <w:sz w:val="18"/>
                <w:szCs w:val="18"/>
              </w:rPr>
              <w:t>PACE</w:t>
            </w:r>
          </w:p>
        </w:tc>
        <w:tc>
          <w:tcPr>
            <w:tcW w:w="0" w:type="auto"/>
            <w:tcBorders>
              <w:top w:val="single" w:sz="4" w:space="0" w:color="FFFFFF"/>
              <w:left w:val="single" w:sz="4" w:space="0" w:color="FFFFFF"/>
              <w:bottom w:val="nil"/>
              <w:right w:val="single" w:sz="4" w:space="0" w:color="FFFFFF"/>
            </w:tcBorders>
            <w:shd w:val="clear" w:color="FCD5B4" w:fill="FCD5B4"/>
            <w:noWrap/>
            <w:vAlign w:val="center"/>
            <w:hideMark/>
          </w:tcPr>
          <w:p w14:paraId="70946169"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0.407</w:t>
            </w:r>
          </w:p>
        </w:tc>
        <w:tc>
          <w:tcPr>
            <w:tcW w:w="0" w:type="auto"/>
            <w:tcBorders>
              <w:top w:val="single" w:sz="4" w:space="0" w:color="FFFFFF"/>
              <w:left w:val="single" w:sz="4" w:space="0" w:color="FFFFFF"/>
              <w:bottom w:val="nil"/>
              <w:right w:val="single" w:sz="4" w:space="0" w:color="FFFFFF"/>
            </w:tcBorders>
            <w:shd w:val="clear" w:color="FCD5B4" w:fill="FCD5B4"/>
            <w:noWrap/>
            <w:vAlign w:val="center"/>
            <w:hideMark/>
          </w:tcPr>
          <w:p w14:paraId="0769FA06"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-0.088</w:t>
            </w:r>
          </w:p>
        </w:tc>
        <w:tc>
          <w:tcPr>
            <w:tcW w:w="0" w:type="auto"/>
            <w:tcBorders>
              <w:top w:val="single" w:sz="4" w:space="0" w:color="FFFFFF"/>
              <w:left w:val="single" w:sz="4" w:space="0" w:color="FFFFFF"/>
              <w:bottom w:val="nil"/>
              <w:right w:val="single" w:sz="4" w:space="0" w:color="FFFFFF"/>
            </w:tcBorders>
            <w:shd w:val="clear" w:color="FCD5B4" w:fill="FCD5B4"/>
            <w:noWrap/>
            <w:vAlign w:val="center"/>
            <w:hideMark/>
          </w:tcPr>
          <w:p w14:paraId="07A97BD8"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0.086</w:t>
            </w:r>
          </w:p>
        </w:tc>
        <w:tc>
          <w:tcPr>
            <w:tcW w:w="864" w:type="dxa"/>
            <w:tcBorders>
              <w:top w:val="nil"/>
              <w:left w:val="single" w:sz="4" w:space="0" w:color="FFFFFF"/>
              <w:bottom w:val="single" w:sz="4" w:space="0" w:color="FFFFFF"/>
              <w:right w:val="nil"/>
            </w:tcBorders>
            <w:shd w:val="clear" w:color="FCD5B4" w:fill="FCD5B4"/>
            <w:noWrap/>
            <w:vAlign w:val="center"/>
            <w:hideMark/>
          </w:tcPr>
          <w:p w14:paraId="0C00C1C6" w14:textId="77777777" w:rsidR="001D0B1D" w:rsidRPr="001D0B1D" w:rsidRDefault="001D0B1D" w:rsidP="001D0B1D">
            <w:pPr>
              <w:autoSpaceDE/>
              <w:autoSpaceDN/>
              <w:jc w:val="center"/>
              <w:rPr>
                <w:rFonts w:ascii="Calibri" w:hAnsi="Calibri"/>
                <w:color w:val="000000"/>
                <w:sz w:val="18"/>
                <w:szCs w:val="18"/>
              </w:rPr>
            </w:pPr>
            <w:r w:rsidRPr="001D0B1D">
              <w:rPr>
                <w:rFonts w:ascii="Calibri" w:hAnsi="Calibri"/>
                <w:color w:val="000000"/>
                <w:sz w:val="18"/>
                <w:szCs w:val="18"/>
              </w:rPr>
              <w:t>0.425</w:t>
            </w:r>
          </w:p>
        </w:tc>
      </w:tr>
    </w:tbl>
    <w:p w14:paraId="44EAF268" w14:textId="6FFA19D1" w:rsidR="001D0B1D" w:rsidRDefault="001D0B1D" w:rsidP="000032D4">
      <w:pPr>
        <w:rPr>
          <w:sz w:val="22"/>
          <w:szCs w:val="22"/>
        </w:rPr>
      </w:pPr>
    </w:p>
    <w:p w14:paraId="0DB0EE0C" w14:textId="11EE571F" w:rsidR="00D33FE1" w:rsidRDefault="000032D4" w:rsidP="000B0471">
      <w:pPr>
        <w:pStyle w:val="Caption"/>
        <w:jc w:val="center"/>
        <w:rPr>
          <w:sz w:val="22"/>
          <w:szCs w:val="22"/>
        </w:rPr>
      </w:pPr>
      <w:r>
        <w:t xml:space="preserve">Table </w:t>
      </w:r>
      <w:fldSimple w:instr=" SEQ Table \* ROMAN ">
        <w:r w:rsidR="003E5E9B">
          <w:rPr>
            <w:noProof/>
          </w:rPr>
          <w:t>IV</w:t>
        </w:r>
      </w:fldSimple>
      <w:r>
        <w:t>: 21-Game SMA and EMA Coefficient Comparison</w:t>
      </w:r>
    </w:p>
    <w:p w14:paraId="641C507C" w14:textId="16EE4140" w:rsidR="002C629C" w:rsidRDefault="00C47B14" w:rsidP="000032D4">
      <w:pPr>
        <w:widowControl w:val="0"/>
        <w:adjustRightInd w:val="0"/>
        <w:ind w:firstLine="202"/>
        <w:rPr>
          <w:sz w:val="22"/>
          <w:szCs w:val="22"/>
        </w:rPr>
      </w:pPr>
      <w:r>
        <w:rPr>
          <w:sz w:val="22"/>
          <w:szCs w:val="22"/>
        </w:rPr>
        <w:t>Both</w:t>
      </w:r>
      <w:r w:rsidR="00CB5778">
        <w:rPr>
          <w:sz w:val="22"/>
          <w:szCs w:val="22"/>
        </w:rPr>
        <w:t xml:space="preserve"> of </w:t>
      </w:r>
      <w:r w:rsidR="004E467C">
        <w:rPr>
          <w:sz w:val="22"/>
          <w:szCs w:val="22"/>
        </w:rPr>
        <w:t>these tables</w:t>
      </w:r>
      <w:r w:rsidR="00CB5778">
        <w:rPr>
          <w:sz w:val="22"/>
          <w:szCs w:val="22"/>
        </w:rPr>
        <w:t xml:space="preserve"> </w:t>
      </w:r>
      <w:r>
        <w:rPr>
          <w:sz w:val="22"/>
          <w:szCs w:val="22"/>
        </w:rPr>
        <w:t xml:space="preserve">are sorted by the </w:t>
      </w:r>
      <w:r w:rsidR="00CB5778">
        <w:rPr>
          <w:sz w:val="22"/>
          <w:szCs w:val="22"/>
        </w:rPr>
        <w:t xml:space="preserve">coefficient vector’s </w:t>
      </w:r>
      <w:r w:rsidR="00A37260">
        <w:rPr>
          <w:sz w:val="22"/>
          <w:szCs w:val="22"/>
        </w:rPr>
        <w:t>magnitude</w:t>
      </w:r>
      <w:r>
        <w:rPr>
          <w:sz w:val="22"/>
          <w:szCs w:val="22"/>
        </w:rPr>
        <w:t xml:space="preserve"> in descending order.</w:t>
      </w:r>
      <w:r w:rsidR="00A37260">
        <w:rPr>
          <w:sz w:val="22"/>
          <w:szCs w:val="22"/>
        </w:rPr>
        <w:t xml:space="preserve"> </w:t>
      </w:r>
      <w:r w:rsidR="00C264A7">
        <w:rPr>
          <w:sz w:val="22"/>
          <w:szCs w:val="22"/>
        </w:rPr>
        <w:t xml:space="preserve">It can be inferred that, due to it having the largest magnitude, </w:t>
      </w:r>
      <w:r w:rsidR="00CB5778">
        <w:rPr>
          <w:sz w:val="22"/>
          <w:szCs w:val="22"/>
        </w:rPr>
        <w:t>sc</w:t>
      </w:r>
      <w:r w:rsidR="001B5B49">
        <w:rPr>
          <w:sz w:val="22"/>
          <w:szCs w:val="22"/>
        </w:rPr>
        <w:t xml:space="preserve">ore differential is </w:t>
      </w:r>
      <w:r w:rsidR="00CB5778">
        <w:rPr>
          <w:sz w:val="22"/>
          <w:szCs w:val="22"/>
        </w:rPr>
        <w:t xml:space="preserve">the strongest predictor. </w:t>
      </w:r>
      <w:r w:rsidR="00C264A7">
        <w:rPr>
          <w:sz w:val="22"/>
          <w:szCs w:val="22"/>
        </w:rPr>
        <w:t>This makes sense; i</w:t>
      </w:r>
      <w:r w:rsidR="00CB5778">
        <w:rPr>
          <w:sz w:val="22"/>
          <w:szCs w:val="22"/>
        </w:rPr>
        <w:t>f a team consistently beats their opponents by a large margin of victory, it’s intuitive to expect that the team will win its next game. The next three predictors— offensive efficiency, defensive efficiency, adjusted field goal percentage— al</w:t>
      </w:r>
      <w:r w:rsidR="003B064B">
        <w:rPr>
          <w:sz w:val="22"/>
          <w:szCs w:val="22"/>
        </w:rPr>
        <w:t>l share similar magnitudes</w:t>
      </w:r>
      <w:r w:rsidR="00CB5778">
        <w:rPr>
          <w:sz w:val="22"/>
          <w:szCs w:val="22"/>
        </w:rPr>
        <w:t xml:space="preserve">, which are also comparatively large. </w:t>
      </w:r>
      <w:r w:rsidR="002C629C">
        <w:rPr>
          <w:sz w:val="22"/>
          <w:szCs w:val="22"/>
        </w:rPr>
        <w:t>A</w:t>
      </w:r>
      <w:r w:rsidR="00CB5778">
        <w:rPr>
          <w:sz w:val="22"/>
          <w:szCs w:val="22"/>
        </w:rPr>
        <w:t>fter adjusted field goal percentage there is a significant drop in magnitude</w:t>
      </w:r>
      <w:r w:rsidR="002C629C">
        <w:rPr>
          <w:sz w:val="22"/>
          <w:szCs w:val="22"/>
        </w:rPr>
        <w:t xml:space="preserve">. </w:t>
      </w:r>
    </w:p>
    <w:p w14:paraId="2BBEC77B" w14:textId="13433B93" w:rsidR="002900AC" w:rsidRDefault="002C629C" w:rsidP="002C629C">
      <w:pPr>
        <w:widowControl w:val="0"/>
        <w:adjustRightInd w:val="0"/>
        <w:ind w:firstLine="202"/>
        <w:rPr>
          <w:sz w:val="22"/>
          <w:szCs w:val="22"/>
        </w:rPr>
      </w:pPr>
      <w:r>
        <w:rPr>
          <w:sz w:val="22"/>
          <w:szCs w:val="22"/>
        </w:rPr>
        <w:t>Before we compare further, it’s impo</w:t>
      </w:r>
      <w:r w:rsidR="006A144B">
        <w:rPr>
          <w:sz w:val="22"/>
          <w:szCs w:val="22"/>
        </w:rPr>
        <w:t>rtant to note the p</w:t>
      </w:r>
      <w:r w:rsidR="001B5B49">
        <w:rPr>
          <w:sz w:val="22"/>
          <w:szCs w:val="22"/>
        </w:rPr>
        <w:t>urpose of regressing on the PACE variable</w:t>
      </w:r>
      <w:r>
        <w:rPr>
          <w:sz w:val="22"/>
          <w:szCs w:val="22"/>
        </w:rPr>
        <w:t>. As</w:t>
      </w:r>
      <w:r w:rsidR="00280049">
        <w:rPr>
          <w:sz w:val="22"/>
          <w:szCs w:val="22"/>
        </w:rPr>
        <w:t xml:space="preserve"> </w:t>
      </w:r>
      <w:r w:rsidR="001B5B49">
        <w:rPr>
          <w:sz w:val="22"/>
          <w:szCs w:val="22"/>
        </w:rPr>
        <w:t>noted in Table II, PACE,</w:t>
      </w:r>
      <w:r>
        <w:rPr>
          <w:sz w:val="22"/>
          <w:szCs w:val="22"/>
        </w:rPr>
        <w:t xml:space="preserve"> the number of possessions, is the same for </w:t>
      </w:r>
      <w:r w:rsidR="00280049">
        <w:rPr>
          <w:sz w:val="22"/>
          <w:szCs w:val="22"/>
        </w:rPr>
        <w:t xml:space="preserve">the </w:t>
      </w:r>
      <w:r>
        <w:rPr>
          <w:sz w:val="22"/>
          <w:szCs w:val="22"/>
        </w:rPr>
        <w:t xml:space="preserve">home </w:t>
      </w:r>
      <w:r w:rsidR="00280049">
        <w:rPr>
          <w:sz w:val="22"/>
          <w:szCs w:val="22"/>
        </w:rPr>
        <w:t>and away teams. This is because</w:t>
      </w:r>
      <w:r>
        <w:rPr>
          <w:sz w:val="22"/>
          <w:szCs w:val="22"/>
        </w:rPr>
        <w:t xml:space="preserve"> </w:t>
      </w:r>
      <w:r w:rsidR="00280049">
        <w:rPr>
          <w:sz w:val="22"/>
          <w:szCs w:val="22"/>
        </w:rPr>
        <w:t>both</w:t>
      </w:r>
      <w:r>
        <w:rPr>
          <w:sz w:val="22"/>
          <w:szCs w:val="22"/>
        </w:rPr>
        <w:t xml:space="preserve"> team</w:t>
      </w:r>
      <w:r w:rsidR="00280049">
        <w:rPr>
          <w:sz w:val="22"/>
          <w:szCs w:val="22"/>
        </w:rPr>
        <w:t>s</w:t>
      </w:r>
      <w:r>
        <w:rPr>
          <w:sz w:val="22"/>
          <w:szCs w:val="22"/>
        </w:rPr>
        <w:t xml:space="preserve"> will have the same amount of possessions per game</w:t>
      </w:r>
      <w:r w:rsidR="006A144B">
        <w:rPr>
          <w:rStyle w:val="FootnoteReference"/>
          <w:sz w:val="22"/>
          <w:szCs w:val="22"/>
        </w:rPr>
        <w:footnoteReference w:id="5"/>
      </w:r>
      <w:r>
        <w:rPr>
          <w:sz w:val="22"/>
          <w:szCs w:val="22"/>
        </w:rPr>
        <w:t xml:space="preserve">. </w:t>
      </w:r>
      <w:r w:rsidR="006A144B">
        <w:rPr>
          <w:sz w:val="22"/>
          <w:szCs w:val="22"/>
        </w:rPr>
        <w:t xml:space="preserve">Since we are calculating a moving average of the statistics over past games, the PACE values for the home and away team will not be </w:t>
      </w:r>
      <w:r w:rsidR="00280049">
        <w:rPr>
          <w:sz w:val="22"/>
          <w:szCs w:val="22"/>
        </w:rPr>
        <w:t>entirely</w:t>
      </w:r>
      <w:r w:rsidR="006A144B">
        <w:rPr>
          <w:sz w:val="22"/>
          <w:szCs w:val="22"/>
        </w:rPr>
        <w:t xml:space="preserve"> the same, howev</w:t>
      </w:r>
      <w:r w:rsidR="00C264A7">
        <w:rPr>
          <w:sz w:val="22"/>
          <w:szCs w:val="22"/>
        </w:rPr>
        <w:t xml:space="preserve">er, it is </w:t>
      </w:r>
      <w:r w:rsidR="006A144B">
        <w:rPr>
          <w:sz w:val="22"/>
          <w:szCs w:val="22"/>
        </w:rPr>
        <w:t xml:space="preserve">constant between teams </w:t>
      </w:r>
      <w:r w:rsidR="00280049">
        <w:rPr>
          <w:sz w:val="22"/>
          <w:szCs w:val="22"/>
        </w:rPr>
        <w:t xml:space="preserve">and </w:t>
      </w:r>
      <w:r w:rsidR="006A144B">
        <w:rPr>
          <w:sz w:val="22"/>
          <w:szCs w:val="22"/>
        </w:rPr>
        <w:t xml:space="preserve">has </w:t>
      </w:r>
      <w:r w:rsidR="00280049">
        <w:rPr>
          <w:sz w:val="22"/>
          <w:szCs w:val="22"/>
        </w:rPr>
        <w:t>relatively little</w:t>
      </w:r>
      <w:r w:rsidR="006A144B">
        <w:rPr>
          <w:sz w:val="22"/>
          <w:szCs w:val="22"/>
        </w:rPr>
        <w:t xml:space="preserve"> influence over the </w:t>
      </w:r>
      <w:r w:rsidR="002900AC">
        <w:rPr>
          <w:sz w:val="22"/>
          <w:szCs w:val="22"/>
        </w:rPr>
        <w:t xml:space="preserve">game’s </w:t>
      </w:r>
      <w:r w:rsidR="006A144B">
        <w:rPr>
          <w:sz w:val="22"/>
          <w:szCs w:val="22"/>
        </w:rPr>
        <w:t xml:space="preserve">outcome. Consequently, the PACE regression </w:t>
      </w:r>
      <w:r w:rsidR="00280049">
        <w:rPr>
          <w:sz w:val="22"/>
          <w:szCs w:val="22"/>
        </w:rPr>
        <w:t>is viewed</w:t>
      </w:r>
      <w:r w:rsidR="002900AC">
        <w:rPr>
          <w:sz w:val="22"/>
          <w:szCs w:val="22"/>
        </w:rPr>
        <w:t xml:space="preserve"> as </w:t>
      </w:r>
      <w:r w:rsidR="00C264A7">
        <w:rPr>
          <w:sz w:val="22"/>
          <w:szCs w:val="22"/>
        </w:rPr>
        <w:t xml:space="preserve">a </w:t>
      </w:r>
      <w:r w:rsidR="006A144B">
        <w:rPr>
          <w:sz w:val="22"/>
          <w:szCs w:val="22"/>
        </w:rPr>
        <w:t>control</w:t>
      </w:r>
      <w:r w:rsidR="002900AC">
        <w:rPr>
          <w:sz w:val="22"/>
          <w:szCs w:val="22"/>
        </w:rPr>
        <w:t>;</w:t>
      </w:r>
      <w:r w:rsidR="006A144B">
        <w:rPr>
          <w:sz w:val="22"/>
          <w:szCs w:val="22"/>
        </w:rPr>
        <w:t xml:space="preserve"> its</w:t>
      </w:r>
      <w:r w:rsidR="00C264A7">
        <w:rPr>
          <w:sz w:val="22"/>
          <w:szCs w:val="22"/>
        </w:rPr>
        <w:t>’</w:t>
      </w:r>
      <w:r w:rsidR="006A144B">
        <w:rPr>
          <w:sz w:val="22"/>
          <w:szCs w:val="22"/>
        </w:rPr>
        <w:t xml:space="preserve"> </w:t>
      </w:r>
      <w:r w:rsidR="002900AC">
        <w:rPr>
          <w:sz w:val="22"/>
          <w:szCs w:val="22"/>
        </w:rPr>
        <w:t xml:space="preserve">coefficient </w:t>
      </w:r>
      <w:r w:rsidR="00C264A7">
        <w:rPr>
          <w:sz w:val="22"/>
          <w:szCs w:val="22"/>
        </w:rPr>
        <w:t xml:space="preserve">magnitude </w:t>
      </w:r>
      <w:r w:rsidR="002900AC">
        <w:rPr>
          <w:sz w:val="22"/>
          <w:szCs w:val="22"/>
        </w:rPr>
        <w:t xml:space="preserve">can be used as a </w:t>
      </w:r>
      <w:r w:rsidR="00280049">
        <w:rPr>
          <w:sz w:val="22"/>
          <w:szCs w:val="22"/>
        </w:rPr>
        <w:t>benchmark for other predictors</w:t>
      </w:r>
      <w:r w:rsidR="002900AC">
        <w:rPr>
          <w:sz w:val="22"/>
          <w:szCs w:val="22"/>
        </w:rPr>
        <w:t xml:space="preserve"> </w:t>
      </w:r>
      <w:r w:rsidR="00D33FE1">
        <w:rPr>
          <w:sz w:val="22"/>
          <w:szCs w:val="22"/>
        </w:rPr>
        <w:t>to gauge how much</w:t>
      </w:r>
      <w:r w:rsidR="002900AC">
        <w:rPr>
          <w:sz w:val="22"/>
          <w:szCs w:val="22"/>
        </w:rPr>
        <w:t xml:space="preserve"> noise the logistic regression model is capturing. </w:t>
      </w:r>
    </w:p>
    <w:p w14:paraId="3D871CEA" w14:textId="10C429C7" w:rsidR="00153754" w:rsidRDefault="002900AC" w:rsidP="00153754">
      <w:pPr>
        <w:widowControl w:val="0"/>
        <w:adjustRightInd w:val="0"/>
        <w:ind w:firstLine="202"/>
        <w:rPr>
          <w:sz w:val="22"/>
          <w:szCs w:val="22"/>
        </w:rPr>
      </w:pPr>
      <w:r>
        <w:rPr>
          <w:sz w:val="22"/>
          <w:szCs w:val="22"/>
        </w:rPr>
        <w:t>In a multivariate regression, we would ideally like to only use predictors that have a major influence on the outcome of a game. If a (normalized) predictor has coefficient</w:t>
      </w:r>
      <w:r w:rsidR="00153754">
        <w:rPr>
          <w:sz w:val="22"/>
          <w:szCs w:val="22"/>
        </w:rPr>
        <w:t xml:space="preserve"> magnitude</w:t>
      </w:r>
      <w:r>
        <w:rPr>
          <w:sz w:val="22"/>
          <w:szCs w:val="22"/>
        </w:rPr>
        <w:t xml:space="preserve"> values that are </w:t>
      </w:r>
      <w:r w:rsidR="00153754">
        <w:rPr>
          <w:sz w:val="22"/>
          <w:szCs w:val="22"/>
        </w:rPr>
        <w:t>just above or even smaller than</w:t>
      </w:r>
      <w:r>
        <w:rPr>
          <w:sz w:val="22"/>
          <w:szCs w:val="22"/>
        </w:rPr>
        <w:t xml:space="preserve"> that of the</w:t>
      </w:r>
      <w:r w:rsidR="00280049">
        <w:rPr>
          <w:sz w:val="22"/>
          <w:szCs w:val="22"/>
        </w:rPr>
        <w:t xml:space="preserve"> PACE predictor, we would</w:t>
      </w:r>
      <w:r>
        <w:rPr>
          <w:sz w:val="22"/>
          <w:szCs w:val="22"/>
        </w:rPr>
        <w:t xml:space="preserve"> not want to use it in our multivariate regression. </w:t>
      </w:r>
    </w:p>
    <w:p w14:paraId="60C6DD4E" w14:textId="73361720" w:rsidR="00134801" w:rsidRDefault="00153754" w:rsidP="00134801">
      <w:pPr>
        <w:widowControl w:val="0"/>
        <w:adjustRightInd w:val="0"/>
        <w:ind w:firstLine="202"/>
        <w:rPr>
          <w:sz w:val="22"/>
          <w:szCs w:val="22"/>
        </w:rPr>
      </w:pPr>
      <w:r>
        <w:rPr>
          <w:sz w:val="22"/>
          <w:szCs w:val="22"/>
        </w:rPr>
        <w:t>Accordingly, we</w:t>
      </w:r>
      <w:r w:rsidR="00134801">
        <w:rPr>
          <w:sz w:val="22"/>
          <w:szCs w:val="22"/>
        </w:rPr>
        <w:t xml:space="preserve"> </w:t>
      </w:r>
      <w:r>
        <w:rPr>
          <w:sz w:val="22"/>
          <w:szCs w:val="22"/>
        </w:rPr>
        <w:t xml:space="preserve">decided to only use the top five predictors for the </w:t>
      </w:r>
      <w:r w:rsidR="00134801">
        <w:rPr>
          <w:sz w:val="22"/>
          <w:szCs w:val="22"/>
        </w:rPr>
        <w:t>multivariate regression discussed in the next section</w:t>
      </w:r>
      <w:r w:rsidR="00461E57">
        <w:rPr>
          <w:sz w:val="22"/>
          <w:szCs w:val="22"/>
        </w:rPr>
        <w:t xml:space="preserve"> as the 6</w:t>
      </w:r>
      <w:r w:rsidR="00461E57" w:rsidRPr="00461E57">
        <w:rPr>
          <w:sz w:val="22"/>
          <w:szCs w:val="22"/>
          <w:vertAlign w:val="superscript"/>
        </w:rPr>
        <w:t>th</w:t>
      </w:r>
      <w:r w:rsidR="00461E57">
        <w:rPr>
          <w:sz w:val="22"/>
          <w:szCs w:val="22"/>
        </w:rPr>
        <w:t xml:space="preserve"> through 9</w:t>
      </w:r>
      <w:r w:rsidR="00461E57" w:rsidRPr="00461E57">
        <w:rPr>
          <w:sz w:val="22"/>
          <w:szCs w:val="22"/>
          <w:vertAlign w:val="superscript"/>
        </w:rPr>
        <w:t>th</w:t>
      </w:r>
      <w:r w:rsidR="00461E57">
        <w:rPr>
          <w:sz w:val="22"/>
          <w:szCs w:val="22"/>
        </w:rPr>
        <w:t xml:space="preserve"> advanced predictors had roughly the same magnitude of coefficients as the PACE predictor</w:t>
      </w:r>
      <w:r w:rsidR="00134801">
        <w:rPr>
          <w:sz w:val="22"/>
          <w:szCs w:val="22"/>
        </w:rPr>
        <w:t>.</w:t>
      </w:r>
    </w:p>
    <w:p w14:paraId="200855A0" w14:textId="15738103" w:rsidR="00153754" w:rsidRDefault="00134801" w:rsidP="00134801">
      <w:pPr>
        <w:widowControl w:val="0"/>
        <w:adjustRightInd w:val="0"/>
        <w:ind w:firstLine="202"/>
        <w:rPr>
          <w:sz w:val="22"/>
          <w:szCs w:val="22"/>
        </w:rPr>
      </w:pPr>
      <w:r>
        <w:rPr>
          <w:sz w:val="22"/>
          <w:szCs w:val="22"/>
        </w:rPr>
        <w:t xml:space="preserve">In order to further justify our choice of predictors we performed an additional test: </w:t>
      </w:r>
      <w:r w:rsidR="00153754">
        <w:rPr>
          <w:sz w:val="22"/>
          <w:szCs w:val="22"/>
        </w:rPr>
        <w:t xml:space="preserve">we </w:t>
      </w:r>
      <w:r w:rsidR="00461E57">
        <w:rPr>
          <w:sz w:val="22"/>
          <w:szCs w:val="22"/>
        </w:rPr>
        <w:t>analyzed</w:t>
      </w:r>
      <w:r w:rsidR="00153754">
        <w:rPr>
          <w:sz w:val="22"/>
          <w:szCs w:val="22"/>
        </w:rPr>
        <w:t xml:space="preserve"> the </w:t>
      </w:r>
      <w:r w:rsidR="00461E57">
        <w:rPr>
          <w:sz w:val="22"/>
          <w:szCs w:val="22"/>
        </w:rPr>
        <w:t>single variable</w:t>
      </w:r>
      <w:r w:rsidR="00153754">
        <w:rPr>
          <w:sz w:val="22"/>
          <w:szCs w:val="22"/>
        </w:rPr>
        <w:t xml:space="preserve"> </w:t>
      </w:r>
      <w:r w:rsidR="00461E57">
        <w:rPr>
          <w:sz w:val="22"/>
          <w:szCs w:val="22"/>
        </w:rPr>
        <w:t>regression coefficients</w:t>
      </w:r>
      <w:r w:rsidR="00153754">
        <w:rPr>
          <w:sz w:val="22"/>
          <w:szCs w:val="22"/>
        </w:rPr>
        <w:t xml:space="preserve"> </w:t>
      </w:r>
      <w:r>
        <w:rPr>
          <w:sz w:val="22"/>
          <w:szCs w:val="22"/>
        </w:rPr>
        <w:t xml:space="preserve">separately </w:t>
      </w:r>
      <w:r w:rsidR="00D60C24">
        <w:rPr>
          <w:sz w:val="22"/>
          <w:szCs w:val="22"/>
        </w:rPr>
        <w:t>for</w:t>
      </w:r>
      <w:r>
        <w:rPr>
          <w:sz w:val="22"/>
          <w:szCs w:val="22"/>
        </w:rPr>
        <w:t xml:space="preserve"> ea</w:t>
      </w:r>
      <w:r w:rsidR="00D60C24">
        <w:rPr>
          <w:sz w:val="22"/>
          <w:szCs w:val="22"/>
        </w:rPr>
        <w:t>ch season</w:t>
      </w:r>
      <w:r w:rsidR="00461E57">
        <w:rPr>
          <w:sz w:val="22"/>
          <w:szCs w:val="22"/>
        </w:rPr>
        <w:t xml:space="preserve"> to ensure that the predictors used in the model are temporally homogenous. That is, </w:t>
      </w:r>
      <w:r w:rsidR="00D60C24">
        <w:rPr>
          <w:sz w:val="22"/>
          <w:szCs w:val="22"/>
        </w:rPr>
        <w:t xml:space="preserve">to ensure </w:t>
      </w:r>
      <w:r w:rsidR="00461E57">
        <w:rPr>
          <w:sz w:val="22"/>
          <w:szCs w:val="22"/>
        </w:rPr>
        <w:t xml:space="preserve">no </w:t>
      </w:r>
      <w:r w:rsidR="00461E57">
        <w:rPr>
          <w:sz w:val="22"/>
          <w:szCs w:val="22"/>
        </w:rPr>
        <w:lastRenderedPageBreak/>
        <w:t xml:space="preserve">major trends </w:t>
      </w:r>
      <w:r w:rsidR="00D60C24">
        <w:rPr>
          <w:sz w:val="22"/>
          <w:szCs w:val="22"/>
        </w:rPr>
        <w:t>affect the statistical significance of our predictors over time</w:t>
      </w:r>
      <w:r w:rsidR="00C264A7">
        <w:rPr>
          <w:sz w:val="22"/>
          <w:szCs w:val="22"/>
        </w:rPr>
        <w:t xml:space="preserve">. </w:t>
      </w:r>
      <w:r w:rsidR="00D60C24">
        <w:rPr>
          <w:sz w:val="22"/>
          <w:szCs w:val="22"/>
        </w:rPr>
        <w:t>To do this, we performed the log</w:t>
      </w:r>
      <w:r w:rsidR="009A5A22">
        <w:rPr>
          <w:sz w:val="22"/>
          <w:szCs w:val="22"/>
        </w:rPr>
        <w:t xml:space="preserve">istic regression </w:t>
      </w:r>
      <w:r w:rsidR="00D60C24">
        <w:rPr>
          <w:sz w:val="22"/>
          <w:szCs w:val="22"/>
        </w:rPr>
        <w:t>for each predictor for each season</w:t>
      </w:r>
      <w:r w:rsidR="009A5A22">
        <w:rPr>
          <w:sz w:val="22"/>
          <w:szCs w:val="22"/>
        </w:rPr>
        <w:t xml:space="preserve"> (i.e. 110 more times)</w:t>
      </w:r>
      <w:r w:rsidR="00D60C24">
        <w:rPr>
          <w:sz w:val="22"/>
          <w:szCs w:val="22"/>
        </w:rPr>
        <w:t xml:space="preserve">. </w:t>
      </w:r>
      <w:r w:rsidR="009A5A22">
        <w:rPr>
          <w:sz w:val="22"/>
          <w:szCs w:val="22"/>
        </w:rPr>
        <w:t xml:space="preserve">These results are shown in </w:t>
      </w:r>
      <w:r w:rsidR="00C264A7">
        <w:rPr>
          <w:sz w:val="22"/>
          <w:szCs w:val="22"/>
        </w:rPr>
        <w:t>Figur</w:t>
      </w:r>
      <w:bookmarkStart w:id="1" w:name="_GoBack"/>
      <w:bookmarkEnd w:id="1"/>
      <w:r w:rsidR="00C264A7">
        <w:rPr>
          <w:sz w:val="22"/>
          <w:szCs w:val="22"/>
        </w:rPr>
        <w:t>e 1</w:t>
      </w:r>
      <w:r w:rsidR="009A5A22">
        <w:rPr>
          <w:sz w:val="22"/>
          <w:szCs w:val="22"/>
        </w:rPr>
        <w:t xml:space="preserve">, which displays </w:t>
      </w:r>
      <w:r>
        <w:rPr>
          <w:sz w:val="22"/>
          <w:szCs w:val="22"/>
        </w:rPr>
        <w:t>the coeffic</w:t>
      </w:r>
      <w:r w:rsidR="009A5A22">
        <w:rPr>
          <w:sz w:val="22"/>
          <w:szCs w:val="22"/>
        </w:rPr>
        <w:t xml:space="preserve">ient magnitude for each predictor by season. </w:t>
      </w:r>
    </w:p>
    <w:p w14:paraId="282208F8" w14:textId="3FBA3F78" w:rsidR="00DE435F" w:rsidRDefault="00F36702" w:rsidP="00DE435F">
      <w:pPr>
        <w:keepNext/>
        <w:widowControl w:val="0"/>
        <w:adjustRightInd w:val="0"/>
      </w:pPr>
      <w:r>
        <w:rPr>
          <w:noProof/>
          <w:sz w:val="22"/>
          <w:szCs w:val="22"/>
        </w:rPr>
        <w:drawing>
          <wp:inline distT="0" distB="0" distL="0" distR="0" wp14:anchorId="6D16613B" wp14:editId="518C9622">
            <wp:extent cx="3312875" cy="2895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3640" cy="2896269"/>
                    </a:xfrm>
                    <a:prstGeom prst="rect">
                      <a:avLst/>
                    </a:prstGeom>
                    <a:noFill/>
                    <a:ln>
                      <a:noFill/>
                    </a:ln>
                  </pic:spPr>
                </pic:pic>
              </a:graphicData>
            </a:graphic>
          </wp:inline>
        </w:drawing>
      </w:r>
      <w:r w:rsidRPr="00F36702">
        <w:rPr>
          <w:noProof/>
          <w:sz w:val="22"/>
          <w:szCs w:val="22"/>
        </w:rPr>
        <w:t xml:space="preserve"> </w:t>
      </w:r>
    </w:p>
    <w:p w14:paraId="480206BE" w14:textId="15029FF8" w:rsidR="00134801" w:rsidRPr="00DE435F" w:rsidRDefault="00DE435F" w:rsidP="00DE435F">
      <w:pPr>
        <w:pStyle w:val="Caption"/>
        <w:jc w:val="center"/>
      </w:pPr>
      <w:r>
        <w:t xml:space="preserve">Figure </w:t>
      </w:r>
      <w:fldSimple w:instr=" SEQ Figure \* ARABIC ">
        <w:r w:rsidR="003E5E9B">
          <w:rPr>
            <w:noProof/>
          </w:rPr>
          <w:t>1</w:t>
        </w:r>
      </w:fldSimple>
      <w:r>
        <w:t>: Coefficient Magnitude by Season (EMA, n = 21)</w:t>
      </w:r>
    </w:p>
    <w:p w14:paraId="26697405" w14:textId="4A35F9A1" w:rsidR="00134801" w:rsidRPr="004E467C" w:rsidRDefault="00DE435F" w:rsidP="00D33FE1">
      <w:pPr>
        <w:widowControl w:val="0"/>
        <w:adjustRightInd w:val="0"/>
        <w:ind w:firstLine="202"/>
        <w:rPr>
          <w:sz w:val="22"/>
          <w:szCs w:val="22"/>
        </w:rPr>
      </w:pPr>
      <w:r w:rsidRPr="004E467C">
        <w:rPr>
          <w:sz w:val="22"/>
          <w:szCs w:val="22"/>
        </w:rPr>
        <w:t>Notice that the top four predictors consistently have h</w:t>
      </w:r>
      <w:r w:rsidR="003B064B" w:rsidRPr="004E467C">
        <w:rPr>
          <w:sz w:val="22"/>
          <w:szCs w:val="22"/>
        </w:rPr>
        <w:t>igh coefficient magnitudes</w:t>
      </w:r>
      <w:r w:rsidRPr="004E467C">
        <w:rPr>
          <w:sz w:val="22"/>
          <w:szCs w:val="22"/>
        </w:rPr>
        <w:t xml:space="preserve"> throughout the 11 seasons. Assist ratio does decrease </w:t>
      </w:r>
      <w:r w:rsidR="004E467C">
        <w:rPr>
          <w:sz w:val="22"/>
          <w:szCs w:val="22"/>
        </w:rPr>
        <w:t>from the 2009 season to the 2012 season but overall follows no major transitional trends. Also, g</w:t>
      </w:r>
      <w:r w:rsidRPr="004E467C">
        <w:rPr>
          <w:sz w:val="22"/>
          <w:szCs w:val="22"/>
        </w:rPr>
        <w:t>iven its influence in early seasons (04-05 to 08-09)</w:t>
      </w:r>
      <w:r w:rsidR="004E467C">
        <w:rPr>
          <w:sz w:val="22"/>
          <w:szCs w:val="22"/>
        </w:rPr>
        <w:t xml:space="preserve"> and its recent increase it is ranked as a top predictor from </w:t>
      </w:r>
      <w:r w:rsidR="00C94432">
        <w:rPr>
          <w:sz w:val="22"/>
          <w:szCs w:val="22"/>
        </w:rPr>
        <w:t xml:space="preserve">our chosen </w:t>
      </w:r>
      <w:r w:rsidR="00A809BD">
        <w:rPr>
          <w:sz w:val="22"/>
          <w:szCs w:val="22"/>
        </w:rPr>
        <w:t>scheme relative to the bottom four</w:t>
      </w:r>
      <w:r w:rsidR="004E467C">
        <w:rPr>
          <w:sz w:val="22"/>
          <w:szCs w:val="22"/>
        </w:rPr>
        <w:t xml:space="preserve"> predictors</w:t>
      </w:r>
      <w:r w:rsidR="00C94432">
        <w:rPr>
          <w:sz w:val="22"/>
          <w:szCs w:val="22"/>
        </w:rPr>
        <w:t>.</w:t>
      </w:r>
      <w:r w:rsidR="004E467C">
        <w:rPr>
          <w:sz w:val="22"/>
          <w:szCs w:val="22"/>
        </w:rPr>
        <w:t xml:space="preserve"> Hence, w</w:t>
      </w:r>
      <w:r w:rsidRPr="004E467C">
        <w:rPr>
          <w:sz w:val="22"/>
          <w:szCs w:val="22"/>
        </w:rPr>
        <w:t>e found i</w:t>
      </w:r>
      <w:r w:rsidR="003B064B" w:rsidRPr="004E467C">
        <w:rPr>
          <w:sz w:val="22"/>
          <w:szCs w:val="22"/>
        </w:rPr>
        <w:t xml:space="preserve">t acceptable to include </w:t>
      </w:r>
      <w:r w:rsidR="00C94432">
        <w:rPr>
          <w:sz w:val="22"/>
          <w:szCs w:val="22"/>
        </w:rPr>
        <w:t xml:space="preserve">this predictor </w:t>
      </w:r>
      <w:r w:rsidRPr="004E467C">
        <w:rPr>
          <w:sz w:val="22"/>
          <w:szCs w:val="22"/>
        </w:rPr>
        <w:t xml:space="preserve">in our multivariate regression. </w:t>
      </w:r>
    </w:p>
    <w:p w14:paraId="02327C34" w14:textId="155ED330" w:rsidR="000E2DAF" w:rsidRDefault="00562445" w:rsidP="00134801">
      <w:pPr>
        <w:widowControl w:val="0"/>
        <w:adjustRightInd w:val="0"/>
        <w:rPr>
          <w:sz w:val="22"/>
          <w:szCs w:val="22"/>
        </w:rPr>
      </w:pPr>
      <w:r w:rsidRPr="004E467C">
        <w:rPr>
          <w:sz w:val="22"/>
          <w:szCs w:val="22"/>
        </w:rPr>
        <w:tab/>
        <w:t>Another important thing to mention is the general consistency of the magnitude rankings through time. Score differential remains the mo</w:t>
      </w:r>
      <w:r w:rsidR="00A809BD">
        <w:rPr>
          <w:sz w:val="22"/>
          <w:szCs w:val="22"/>
        </w:rPr>
        <w:t>st influential metric for all eleven</w:t>
      </w:r>
      <w:r w:rsidRPr="004E467C">
        <w:rPr>
          <w:sz w:val="22"/>
          <w:szCs w:val="22"/>
        </w:rPr>
        <w:t xml:space="preserve"> seasons, and the next three metrics, although slightly less consistent, still generally uphold the same ranking through time. This ranking consistency serves as a justification for training our multivariate</w:t>
      </w:r>
      <w:r w:rsidR="00A809BD">
        <w:rPr>
          <w:sz w:val="22"/>
          <w:szCs w:val="22"/>
        </w:rPr>
        <w:t xml:space="preserve"> regression model on the full eleven</w:t>
      </w:r>
      <w:r w:rsidRPr="004E467C">
        <w:rPr>
          <w:sz w:val="22"/>
          <w:szCs w:val="22"/>
        </w:rPr>
        <w:t xml:space="preserve"> years worth of data, rather than training on each season separately. </w:t>
      </w:r>
      <w:r w:rsidR="009A5A22" w:rsidRPr="004E467C">
        <w:rPr>
          <w:sz w:val="22"/>
          <w:szCs w:val="22"/>
        </w:rPr>
        <w:t>In</w:t>
      </w:r>
      <w:r w:rsidR="009A5A22">
        <w:rPr>
          <w:sz w:val="22"/>
          <w:szCs w:val="22"/>
        </w:rPr>
        <w:t xml:space="preserve"> conclusion, the</w:t>
      </w:r>
      <w:r>
        <w:rPr>
          <w:sz w:val="22"/>
          <w:szCs w:val="22"/>
        </w:rPr>
        <w:t xml:space="preserve"> </w:t>
      </w:r>
      <w:r w:rsidR="00495A67">
        <w:rPr>
          <w:sz w:val="22"/>
          <w:szCs w:val="22"/>
        </w:rPr>
        <w:t xml:space="preserve">team statistics that determined a game’s outcome </w:t>
      </w:r>
      <w:r w:rsidR="009A5A22">
        <w:rPr>
          <w:sz w:val="22"/>
          <w:szCs w:val="22"/>
        </w:rPr>
        <w:t>appear to be roughly t</w:t>
      </w:r>
      <w:r w:rsidR="00A809BD">
        <w:rPr>
          <w:sz w:val="22"/>
          <w:szCs w:val="22"/>
        </w:rPr>
        <w:t>he same throughout the entire eleven</w:t>
      </w:r>
      <w:r w:rsidR="009A5A22">
        <w:rPr>
          <w:sz w:val="22"/>
          <w:szCs w:val="22"/>
        </w:rPr>
        <w:t>-year period being analyzed</w:t>
      </w:r>
      <w:r w:rsidR="00495A67">
        <w:rPr>
          <w:sz w:val="22"/>
          <w:szCs w:val="22"/>
        </w:rPr>
        <w:t xml:space="preserve">. </w:t>
      </w:r>
    </w:p>
    <w:p w14:paraId="36949D23" w14:textId="7E5D1FD4" w:rsidR="00134801" w:rsidRDefault="00134801" w:rsidP="00134801">
      <w:pPr>
        <w:pStyle w:val="Heading1"/>
      </w:pPr>
      <w:r>
        <w:t>Multivariate Logistic Regression</w:t>
      </w:r>
    </w:p>
    <w:p w14:paraId="4A47A09D" w14:textId="05A42512" w:rsidR="00562445" w:rsidRDefault="00134801" w:rsidP="00562445">
      <w:pPr>
        <w:widowControl w:val="0"/>
        <w:adjustRightInd w:val="0"/>
        <w:ind w:firstLine="202"/>
        <w:rPr>
          <w:sz w:val="22"/>
          <w:szCs w:val="22"/>
        </w:rPr>
      </w:pPr>
      <w:r>
        <w:rPr>
          <w:sz w:val="22"/>
          <w:szCs w:val="22"/>
        </w:rPr>
        <w:t xml:space="preserve">Feeling more confident about our choice in predictors, we </w:t>
      </w:r>
      <w:r w:rsidR="00562445">
        <w:rPr>
          <w:sz w:val="22"/>
          <w:szCs w:val="22"/>
        </w:rPr>
        <w:t>trained</w:t>
      </w:r>
      <w:r>
        <w:rPr>
          <w:sz w:val="22"/>
          <w:szCs w:val="22"/>
        </w:rPr>
        <w:t xml:space="preserve"> ten multivariate logistic regression models, each correspondin</w:t>
      </w:r>
      <w:r w:rsidR="00DE435F">
        <w:rPr>
          <w:sz w:val="22"/>
          <w:szCs w:val="22"/>
        </w:rPr>
        <w:t xml:space="preserve">g to a unique </w:t>
      </w:r>
      <w:r w:rsidR="00DE435F">
        <w:rPr>
          <w:sz w:val="22"/>
          <w:szCs w:val="22"/>
        </w:rPr>
        <w:lastRenderedPageBreak/>
        <w:t>combination of</w:t>
      </w:r>
      <w:r>
        <w:rPr>
          <w:sz w:val="22"/>
          <w:szCs w:val="22"/>
        </w:rPr>
        <w:t xml:space="preserve"> </w:t>
      </w:r>
      <m:oMath>
        <m:r>
          <w:rPr>
            <w:rFonts w:ascii="Cambria Math" w:hAnsi="Cambria Math"/>
            <w:sz w:val="22"/>
            <w:szCs w:val="22"/>
          </w:rPr>
          <m:t>n</m:t>
        </m:r>
      </m:oMath>
      <w:r w:rsidR="00DE435F">
        <w:rPr>
          <w:sz w:val="22"/>
          <w:szCs w:val="22"/>
        </w:rPr>
        <w:t xml:space="preserve"> (look-back value) and moving average method (EMA or SMA). </w:t>
      </w:r>
      <w:r w:rsidR="00562445">
        <w:rPr>
          <w:sz w:val="22"/>
          <w:szCs w:val="22"/>
        </w:rPr>
        <w:t>We then performed 10-fold cross validation on these models in order</w:t>
      </w:r>
      <w:r w:rsidR="003B064B">
        <w:rPr>
          <w:sz w:val="22"/>
          <w:szCs w:val="22"/>
        </w:rPr>
        <w:t xml:space="preserve"> to identify which model attained</w:t>
      </w:r>
      <w:r w:rsidR="00562445">
        <w:rPr>
          <w:sz w:val="22"/>
          <w:szCs w:val="22"/>
        </w:rPr>
        <w:t xml:space="preserve"> th</w:t>
      </w:r>
      <w:r w:rsidR="00A809BD">
        <w:rPr>
          <w:sz w:val="22"/>
          <w:szCs w:val="22"/>
        </w:rPr>
        <w:t xml:space="preserve">e best accuracy. Figure 2 below </w:t>
      </w:r>
      <w:r w:rsidR="00562445">
        <w:rPr>
          <w:sz w:val="22"/>
          <w:szCs w:val="22"/>
        </w:rPr>
        <w:t>shows the misclassification rate of all ten models:</w:t>
      </w:r>
    </w:p>
    <w:p w14:paraId="6FBCD8B4" w14:textId="77777777" w:rsidR="00F26CC5" w:rsidRDefault="00F26CC5" w:rsidP="00F26CC5">
      <w:pPr>
        <w:keepNext/>
        <w:widowControl w:val="0"/>
        <w:adjustRightInd w:val="0"/>
      </w:pPr>
      <w:r>
        <w:rPr>
          <w:noProof/>
          <w:sz w:val="22"/>
          <w:szCs w:val="22"/>
        </w:rPr>
        <w:drawing>
          <wp:inline distT="0" distB="0" distL="0" distR="0" wp14:anchorId="79F539BF" wp14:editId="2C6816EA">
            <wp:extent cx="3108534" cy="2316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classRatesforPredWinsSmallText.jpeg"/>
                    <pic:cNvPicPr/>
                  </pic:nvPicPr>
                  <pic:blipFill>
                    <a:blip r:embed="rId12">
                      <a:extLst>
                        <a:ext uri="{28A0092B-C50C-407E-A947-70E740481C1C}">
                          <a14:useLocalDpi xmlns:a14="http://schemas.microsoft.com/office/drawing/2010/main" val="0"/>
                        </a:ext>
                      </a:extLst>
                    </a:blip>
                    <a:stretch>
                      <a:fillRect/>
                    </a:stretch>
                  </pic:blipFill>
                  <pic:spPr>
                    <a:xfrm>
                      <a:off x="0" y="0"/>
                      <a:ext cx="3108960" cy="2317126"/>
                    </a:xfrm>
                    <a:prstGeom prst="rect">
                      <a:avLst/>
                    </a:prstGeom>
                  </pic:spPr>
                </pic:pic>
              </a:graphicData>
            </a:graphic>
          </wp:inline>
        </w:drawing>
      </w:r>
    </w:p>
    <w:p w14:paraId="6CA9ABED" w14:textId="54F738E2" w:rsidR="001E31AA" w:rsidRDefault="00F26CC5" w:rsidP="00F26CC5">
      <w:pPr>
        <w:pStyle w:val="Caption"/>
        <w:jc w:val="center"/>
        <w:rPr>
          <w:sz w:val="22"/>
          <w:szCs w:val="22"/>
        </w:rPr>
      </w:pPr>
      <w:r>
        <w:t xml:space="preserve">Figure </w:t>
      </w:r>
      <w:fldSimple w:instr=" SEQ Figure \* ARABIC ">
        <w:r w:rsidR="003E5E9B">
          <w:rPr>
            <w:noProof/>
          </w:rPr>
          <w:t>2</w:t>
        </w:r>
      </w:fldSimple>
      <w:r>
        <w:t>: Misclassification of Game Outcomes- Comparing Ten Different Models</w:t>
      </w:r>
    </w:p>
    <w:p w14:paraId="2FE0BDDC" w14:textId="4033A602" w:rsidR="00495A67" w:rsidRDefault="00495A67" w:rsidP="00495A67">
      <w:pPr>
        <w:widowControl w:val="0"/>
        <w:adjustRightInd w:val="0"/>
        <w:rPr>
          <w:sz w:val="22"/>
          <w:szCs w:val="22"/>
        </w:rPr>
      </w:pPr>
      <w:r>
        <w:rPr>
          <w:sz w:val="22"/>
          <w:szCs w:val="22"/>
        </w:rPr>
        <w:tab/>
        <w:t xml:space="preserve">The first thing to notice here is how similar the misclassification rates are. Although </w:t>
      </w:r>
      <w:r w:rsidR="00F26CC5">
        <w:rPr>
          <w:sz w:val="22"/>
          <w:szCs w:val="22"/>
        </w:rPr>
        <w:t xml:space="preserve">an increase in </w:t>
      </w:r>
      <w:r>
        <w:rPr>
          <w:sz w:val="22"/>
          <w:szCs w:val="22"/>
        </w:rPr>
        <w:t xml:space="preserve">the look-back improves </w:t>
      </w:r>
      <w:r w:rsidR="00F26CC5">
        <w:rPr>
          <w:sz w:val="22"/>
          <w:szCs w:val="22"/>
        </w:rPr>
        <w:t>prediction a</w:t>
      </w:r>
      <w:r>
        <w:rPr>
          <w:sz w:val="22"/>
          <w:szCs w:val="22"/>
        </w:rPr>
        <w:t>ccura</w:t>
      </w:r>
      <w:r w:rsidR="00F26CC5">
        <w:rPr>
          <w:sz w:val="22"/>
          <w:szCs w:val="22"/>
        </w:rPr>
        <w:t>cy, the effect is rather weak. Increasing</w:t>
      </w:r>
      <w:r>
        <w:rPr>
          <w:sz w:val="22"/>
          <w:szCs w:val="22"/>
        </w:rPr>
        <w:t xml:space="preserve"> the look-back from 5 games to 35 games yields an error improvement of less than 5 percent. </w:t>
      </w:r>
    </w:p>
    <w:p w14:paraId="08996DFB" w14:textId="468336F9" w:rsidR="00495A67" w:rsidRDefault="00495A67" w:rsidP="00495A67">
      <w:pPr>
        <w:widowControl w:val="0"/>
        <w:adjustRightInd w:val="0"/>
        <w:rPr>
          <w:sz w:val="22"/>
          <w:szCs w:val="22"/>
        </w:rPr>
      </w:pPr>
      <w:r>
        <w:rPr>
          <w:sz w:val="22"/>
          <w:szCs w:val="22"/>
        </w:rPr>
        <w:tab/>
        <w:t>The second thing to notice is the similarity between using a simple moving average versus an exponential moving average. Weighting more recent team performance more heavily</w:t>
      </w:r>
      <w:r w:rsidR="00F26CC5">
        <w:rPr>
          <w:sz w:val="22"/>
          <w:szCs w:val="22"/>
        </w:rPr>
        <w:t xml:space="preserve"> generally</w:t>
      </w:r>
      <w:r>
        <w:rPr>
          <w:sz w:val="22"/>
          <w:szCs w:val="22"/>
        </w:rPr>
        <w:t xml:space="preserve"> does not affect the model’s ability to predict. This conclusion somewhat disvalues the common betting strategy of using a team’s recent ‘hot streak’ to justify an increase in its odds of winning</w:t>
      </w:r>
      <w:r w:rsidR="00F26CC5">
        <w:rPr>
          <w:sz w:val="22"/>
          <w:szCs w:val="22"/>
        </w:rPr>
        <w:t xml:space="preserve"> its</w:t>
      </w:r>
      <w:r>
        <w:rPr>
          <w:sz w:val="22"/>
          <w:szCs w:val="22"/>
        </w:rPr>
        <w:t xml:space="preserve"> next game. </w:t>
      </w:r>
    </w:p>
    <w:p w14:paraId="32E0DAA8" w14:textId="2B91E2A0" w:rsidR="00F26CC5" w:rsidRDefault="00724E88" w:rsidP="00495A67">
      <w:pPr>
        <w:widowControl w:val="0"/>
        <w:adjustRightInd w:val="0"/>
        <w:rPr>
          <w:sz w:val="22"/>
          <w:szCs w:val="22"/>
        </w:rPr>
      </w:pPr>
      <w:r>
        <w:rPr>
          <w:sz w:val="22"/>
          <w:szCs w:val="22"/>
        </w:rPr>
        <w:tab/>
        <w:t xml:space="preserve">As far as </w:t>
      </w:r>
      <w:r w:rsidR="009A5A22">
        <w:rPr>
          <w:sz w:val="22"/>
          <w:szCs w:val="22"/>
        </w:rPr>
        <w:t>choosing a model</w:t>
      </w:r>
      <w:r w:rsidR="00CE156A">
        <w:rPr>
          <w:sz w:val="22"/>
          <w:szCs w:val="22"/>
        </w:rPr>
        <w:t xml:space="preserve"> to employ</w:t>
      </w:r>
      <w:r>
        <w:rPr>
          <w:sz w:val="22"/>
          <w:szCs w:val="22"/>
        </w:rPr>
        <w:t xml:space="preserve">, we decided that a 21-game look back with an exponential moving average achieves a </w:t>
      </w:r>
      <w:r w:rsidR="009A5A22">
        <w:rPr>
          <w:sz w:val="22"/>
          <w:szCs w:val="22"/>
        </w:rPr>
        <w:t xml:space="preserve">satisfactory balance between model applicability and </w:t>
      </w:r>
      <w:r w:rsidR="00C12A05">
        <w:rPr>
          <w:sz w:val="22"/>
          <w:szCs w:val="22"/>
        </w:rPr>
        <w:t>accuracy</w:t>
      </w:r>
      <w:r>
        <w:rPr>
          <w:sz w:val="22"/>
          <w:szCs w:val="22"/>
        </w:rPr>
        <w:t xml:space="preserve">. </w:t>
      </w:r>
      <w:r w:rsidR="00DD48D1">
        <w:rPr>
          <w:sz w:val="22"/>
          <w:szCs w:val="22"/>
        </w:rPr>
        <w:t>Table V</w:t>
      </w:r>
      <w:r w:rsidR="005D1B7D">
        <w:rPr>
          <w:sz w:val="22"/>
          <w:szCs w:val="22"/>
        </w:rPr>
        <w:t xml:space="preserve"> below displays the 11 coefficient values of</w:t>
      </w:r>
      <w:r w:rsidR="00F773F0">
        <w:rPr>
          <w:sz w:val="22"/>
          <w:szCs w:val="22"/>
        </w:rPr>
        <w:t xml:space="preserve"> the model</w:t>
      </w:r>
      <w:r w:rsidR="00D86EEA">
        <w:rPr>
          <w:sz w:val="22"/>
          <w:szCs w:val="22"/>
        </w:rPr>
        <w:t xml:space="preserve"> for the normalized predictors</w:t>
      </w:r>
      <w:r w:rsidR="00F773F0">
        <w:rPr>
          <w:sz w:val="22"/>
          <w:szCs w:val="22"/>
        </w:rPr>
        <w:t>:</w:t>
      </w:r>
    </w:p>
    <w:p w14:paraId="14656B9B" w14:textId="77777777" w:rsidR="00F773F0" w:rsidRDefault="00F773F0" w:rsidP="00495A67">
      <w:pPr>
        <w:widowControl w:val="0"/>
        <w:adjustRightInd w:val="0"/>
        <w:rPr>
          <w:sz w:val="22"/>
          <w:szCs w:val="22"/>
        </w:rPr>
      </w:pPr>
    </w:p>
    <w:p w14:paraId="113146C1" w14:textId="60111949" w:rsidR="00D86EEA" w:rsidRDefault="00D86EEA" w:rsidP="00D86EEA">
      <w:pPr>
        <w:keepNext/>
        <w:widowControl w:val="0"/>
        <w:adjustRightInd w:val="0"/>
        <w:jc w:val="center"/>
      </w:pPr>
      <w:r>
        <w:rPr>
          <w:sz w:val="22"/>
          <w:szCs w:val="22"/>
        </w:rPr>
        <w:fldChar w:fldCharType="begin"/>
      </w:r>
      <w:r>
        <w:rPr>
          <w:sz w:val="22"/>
          <w:szCs w:val="22"/>
        </w:rPr>
        <w:instrText xml:space="preserve"> LINK Excel.Sheet.8 "Macintosh HD:Users:dimitryslavin:Desktop:NBA-Arbitrage:Presentation:tables_rough_draft.xlsx!Sheet8!R1C1:R7C3" "" \a \p </w:instrText>
      </w:r>
      <w:r>
        <w:rPr>
          <w:sz w:val="22"/>
          <w:szCs w:val="22"/>
        </w:rPr>
        <w:fldChar w:fldCharType="separate"/>
      </w:r>
      <w:r w:rsidR="00F4315B">
        <w:rPr>
          <w:sz w:val="22"/>
          <w:szCs w:val="22"/>
        </w:rPr>
        <w:object w:dxaOrig="4120" w:dyaOrig="2100" w14:anchorId="42E1A5C1">
          <v:shape id="_x0000_i1027" type="#_x0000_t75" style="width:205.85pt;height:104.85pt">
            <v:imagedata r:id="rId13" o:title=""/>
          </v:shape>
        </w:object>
      </w:r>
      <w:r>
        <w:rPr>
          <w:sz w:val="22"/>
          <w:szCs w:val="22"/>
        </w:rPr>
        <w:fldChar w:fldCharType="end"/>
      </w:r>
    </w:p>
    <w:p w14:paraId="6C11B9F1" w14:textId="7F173B12" w:rsidR="00D86EEA" w:rsidRPr="00D86EEA" w:rsidRDefault="00D86EEA" w:rsidP="00D86EEA">
      <w:pPr>
        <w:pStyle w:val="Caption"/>
        <w:jc w:val="center"/>
      </w:pPr>
      <w:r>
        <w:t xml:space="preserve">Table </w:t>
      </w:r>
      <w:fldSimple w:instr=" SEQ Table \* ROMAN ">
        <w:r w:rsidR="003E5E9B">
          <w:rPr>
            <w:noProof/>
          </w:rPr>
          <w:t>V</w:t>
        </w:r>
      </w:fldSimple>
      <w:r>
        <w:t>: Multivariate Regression Model Coefficient Values (21-Game EMA)</w:t>
      </w:r>
    </w:p>
    <w:p w14:paraId="44359AE8" w14:textId="19EE88AA" w:rsidR="001E31AA" w:rsidRDefault="00724E88" w:rsidP="00724E88">
      <w:pPr>
        <w:pStyle w:val="Heading1"/>
      </w:pPr>
      <w:r>
        <w:lastRenderedPageBreak/>
        <w:t xml:space="preserve"> Principle Component Analysis</w:t>
      </w:r>
    </w:p>
    <w:p w14:paraId="0FA2785C" w14:textId="54E9752D" w:rsidR="00A23639" w:rsidRDefault="00CE156A" w:rsidP="00724E88">
      <w:pPr>
        <w:widowControl w:val="0"/>
        <w:adjustRightInd w:val="0"/>
        <w:ind w:firstLine="202"/>
        <w:rPr>
          <w:sz w:val="22"/>
          <w:szCs w:val="22"/>
        </w:rPr>
      </w:pPr>
      <w:r>
        <w:rPr>
          <w:sz w:val="22"/>
          <w:szCs w:val="22"/>
        </w:rPr>
        <w:t>Now that the data is well understood</w:t>
      </w:r>
      <w:r w:rsidR="00B229E0">
        <w:rPr>
          <w:sz w:val="22"/>
          <w:szCs w:val="22"/>
        </w:rPr>
        <w:t>, prin</w:t>
      </w:r>
      <w:r w:rsidR="00BB7F5F">
        <w:rPr>
          <w:sz w:val="22"/>
          <w:szCs w:val="22"/>
        </w:rPr>
        <w:t xml:space="preserve">ciple component analysis </w:t>
      </w:r>
      <w:r>
        <w:rPr>
          <w:sz w:val="22"/>
          <w:szCs w:val="22"/>
        </w:rPr>
        <w:t xml:space="preserve">was performed </w:t>
      </w:r>
      <w:r w:rsidR="00BB7F5F">
        <w:rPr>
          <w:sz w:val="22"/>
          <w:szCs w:val="22"/>
        </w:rPr>
        <w:t xml:space="preserve">on the full set of </w:t>
      </w:r>
      <w:r>
        <w:rPr>
          <w:sz w:val="22"/>
          <w:szCs w:val="22"/>
        </w:rPr>
        <w:t xml:space="preserve">original predictors. </w:t>
      </w:r>
      <w:r w:rsidR="00A23639">
        <w:rPr>
          <w:sz w:val="22"/>
          <w:szCs w:val="22"/>
        </w:rPr>
        <w:t>Following our decision from the cross validation performed in the previous section, we used the 21-game exponential m</w:t>
      </w:r>
      <w:r w:rsidR="00AA67FC">
        <w:rPr>
          <w:sz w:val="22"/>
          <w:szCs w:val="22"/>
        </w:rPr>
        <w:t>oving average of each statistic</w:t>
      </w:r>
      <w:r w:rsidR="00A23639">
        <w:rPr>
          <w:sz w:val="22"/>
          <w:szCs w:val="22"/>
        </w:rPr>
        <w:t xml:space="preserve"> as input to the PCA.</w:t>
      </w:r>
      <w:r w:rsidR="00BB7F5F">
        <w:rPr>
          <w:sz w:val="22"/>
          <w:szCs w:val="22"/>
        </w:rPr>
        <w:t xml:space="preserve"> </w:t>
      </w:r>
    </w:p>
    <w:p w14:paraId="35EFCB36" w14:textId="546E46A6" w:rsidR="00A23639" w:rsidRDefault="00BB7F5F" w:rsidP="00724E88">
      <w:pPr>
        <w:widowControl w:val="0"/>
        <w:adjustRightInd w:val="0"/>
        <w:ind w:firstLine="202"/>
        <w:rPr>
          <w:sz w:val="22"/>
          <w:szCs w:val="22"/>
        </w:rPr>
      </w:pPr>
      <w:r>
        <w:rPr>
          <w:sz w:val="22"/>
          <w:szCs w:val="22"/>
        </w:rPr>
        <w:t>After identifying the set of principle components, we generated a set of multivariate logistic regression models. The set of models was made by iter</w:t>
      </w:r>
      <w:r w:rsidR="00A23639">
        <w:rPr>
          <w:sz w:val="22"/>
          <w:szCs w:val="22"/>
        </w:rPr>
        <w:t xml:space="preserve">atively increasing the number of principle components </w:t>
      </w:r>
      <w:r w:rsidR="003B064B">
        <w:rPr>
          <w:sz w:val="22"/>
          <w:szCs w:val="22"/>
        </w:rPr>
        <w:t xml:space="preserve">that were </w:t>
      </w:r>
      <w:r w:rsidR="00A23639">
        <w:rPr>
          <w:sz w:val="22"/>
          <w:szCs w:val="22"/>
        </w:rPr>
        <w:t>regressed upon</w:t>
      </w:r>
      <w:r>
        <w:rPr>
          <w:sz w:val="22"/>
          <w:szCs w:val="22"/>
        </w:rPr>
        <w:t xml:space="preserve">. </w:t>
      </w:r>
    </w:p>
    <w:p w14:paraId="72B37C22" w14:textId="72181952" w:rsidR="00A23639" w:rsidRDefault="00A809BD" w:rsidP="00724E88">
      <w:pPr>
        <w:widowControl w:val="0"/>
        <w:adjustRightInd w:val="0"/>
        <w:ind w:firstLine="202"/>
        <w:rPr>
          <w:sz w:val="22"/>
          <w:szCs w:val="22"/>
        </w:rPr>
      </w:pPr>
      <w:r>
        <w:rPr>
          <w:sz w:val="22"/>
          <w:szCs w:val="22"/>
        </w:rPr>
        <w:t>34</w:t>
      </w:r>
      <w:r w:rsidR="00A23639">
        <w:rPr>
          <w:sz w:val="22"/>
          <w:szCs w:val="22"/>
        </w:rPr>
        <w:t xml:space="preserve"> principle components were identified, corr</w:t>
      </w:r>
      <w:r w:rsidR="00CE156A">
        <w:rPr>
          <w:sz w:val="22"/>
          <w:szCs w:val="22"/>
        </w:rPr>
        <w:t>esponding to 34</w:t>
      </w:r>
      <w:r w:rsidR="00A23639">
        <w:rPr>
          <w:sz w:val="22"/>
          <w:szCs w:val="22"/>
        </w:rPr>
        <w:t xml:space="preserve"> unique logistic re</w:t>
      </w:r>
      <w:r w:rsidR="00D86EEA">
        <w:rPr>
          <w:sz w:val="22"/>
          <w:szCs w:val="22"/>
        </w:rPr>
        <w:t xml:space="preserve">gression models. Figure 3 </w:t>
      </w:r>
      <w:r w:rsidR="00A23639">
        <w:rPr>
          <w:sz w:val="22"/>
          <w:szCs w:val="22"/>
        </w:rPr>
        <w:t xml:space="preserve">is a scree bar plot </w:t>
      </w:r>
      <w:r w:rsidR="00CE156A">
        <w:rPr>
          <w:sz w:val="22"/>
          <w:szCs w:val="22"/>
        </w:rPr>
        <w:t>of the top 25</w:t>
      </w:r>
      <w:r w:rsidR="005F2F61">
        <w:rPr>
          <w:sz w:val="22"/>
          <w:szCs w:val="22"/>
        </w:rPr>
        <w:t xml:space="preserve"> principle components, </w:t>
      </w:r>
      <w:r w:rsidR="00A23639">
        <w:rPr>
          <w:sz w:val="22"/>
          <w:szCs w:val="22"/>
        </w:rPr>
        <w:t>superimposed onto a plo</w:t>
      </w:r>
      <w:r w:rsidR="005F2F61">
        <w:rPr>
          <w:sz w:val="22"/>
          <w:szCs w:val="22"/>
        </w:rPr>
        <w:t>t of the</w:t>
      </w:r>
      <w:r w:rsidR="00A23639">
        <w:rPr>
          <w:sz w:val="22"/>
          <w:szCs w:val="22"/>
        </w:rPr>
        <w:t xml:space="preserve"> misclassification</w:t>
      </w:r>
      <w:r w:rsidR="00DA3E6B">
        <w:rPr>
          <w:sz w:val="22"/>
          <w:szCs w:val="22"/>
        </w:rPr>
        <w:t xml:space="preserve"> error of the</w:t>
      </w:r>
      <w:r w:rsidR="00CE156A">
        <w:rPr>
          <w:sz w:val="22"/>
          <w:szCs w:val="22"/>
        </w:rPr>
        <w:t xml:space="preserve"> 25</w:t>
      </w:r>
      <w:r w:rsidR="00A23639">
        <w:rPr>
          <w:sz w:val="22"/>
          <w:szCs w:val="22"/>
        </w:rPr>
        <w:t xml:space="preserve"> </w:t>
      </w:r>
      <w:r w:rsidR="005F2F61">
        <w:rPr>
          <w:sz w:val="22"/>
          <w:szCs w:val="22"/>
        </w:rPr>
        <w:t>correspon</w:t>
      </w:r>
      <w:r w:rsidR="00D86EEA">
        <w:rPr>
          <w:sz w:val="22"/>
          <w:szCs w:val="22"/>
        </w:rPr>
        <w:t xml:space="preserve">ding logistic regression models. </w:t>
      </w:r>
      <w:r w:rsidR="00E646EF">
        <w:rPr>
          <w:sz w:val="22"/>
          <w:szCs w:val="22"/>
        </w:rPr>
        <w:t>Superposition was chosen to demonstrate the unison in behavior between the amount of variance ca</w:t>
      </w:r>
      <w:r w:rsidR="000E2DAF">
        <w:rPr>
          <w:sz w:val="22"/>
          <w:szCs w:val="22"/>
        </w:rPr>
        <w:t>ptured and the error rate</w:t>
      </w:r>
      <w:r w:rsidR="00E646EF">
        <w:rPr>
          <w:sz w:val="22"/>
          <w:szCs w:val="22"/>
        </w:rPr>
        <w:t>.</w:t>
      </w:r>
    </w:p>
    <w:p w14:paraId="49C0C6BF" w14:textId="524976DB" w:rsidR="005F2F61" w:rsidRDefault="00D86EEA" w:rsidP="00724E88">
      <w:pPr>
        <w:widowControl w:val="0"/>
        <w:adjustRightInd w:val="0"/>
        <w:ind w:firstLine="202"/>
        <w:rPr>
          <w:sz w:val="22"/>
          <w:szCs w:val="22"/>
        </w:rPr>
      </w:pPr>
      <w:r>
        <w:rPr>
          <w:sz w:val="22"/>
          <w:szCs w:val="22"/>
        </w:rPr>
        <w:t>As we expect, the misclassification error decreases as the number of principle components used in the model increases. It is quite surprising, however, that using the principle components as predictors in the logistic regression y</w:t>
      </w:r>
      <w:r w:rsidR="00DA3E6B">
        <w:rPr>
          <w:sz w:val="22"/>
          <w:szCs w:val="22"/>
        </w:rPr>
        <w:t>ields little to no improvement i</w:t>
      </w:r>
      <w:r>
        <w:rPr>
          <w:sz w:val="22"/>
          <w:szCs w:val="22"/>
        </w:rPr>
        <w:t xml:space="preserve">n predictive accuracy. The misclassification error of the 21-game EMA multivariate logistic regression model from the previous section— a model that uses only ten predictors— achieves practically the same error rate as all 24 of the models depicted in Figure 3. </w:t>
      </w:r>
      <w:r w:rsidR="000E2DAF">
        <w:rPr>
          <w:sz w:val="22"/>
          <w:szCs w:val="22"/>
        </w:rPr>
        <w:t>M</w:t>
      </w:r>
      <w:r>
        <w:rPr>
          <w:sz w:val="22"/>
          <w:szCs w:val="22"/>
        </w:rPr>
        <w:t xml:space="preserve">odel interpretability </w:t>
      </w:r>
      <w:r w:rsidR="000E2DAF">
        <w:rPr>
          <w:sz w:val="22"/>
          <w:szCs w:val="22"/>
        </w:rPr>
        <w:t xml:space="preserve">was sacrificed </w:t>
      </w:r>
      <w:r>
        <w:rPr>
          <w:sz w:val="22"/>
          <w:szCs w:val="22"/>
        </w:rPr>
        <w:t>for little to no gain in predictive accuracy.</w:t>
      </w:r>
    </w:p>
    <w:p w14:paraId="18BC57B0" w14:textId="4D7B1E93" w:rsidR="00CB3E86" w:rsidRDefault="00CB3E86" w:rsidP="00724E88">
      <w:pPr>
        <w:widowControl w:val="0"/>
        <w:adjustRightInd w:val="0"/>
        <w:ind w:firstLine="202"/>
        <w:rPr>
          <w:sz w:val="22"/>
          <w:szCs w:val="22"/>
        </w:rPr>
      </w:pPr>
      <w:r>
        <w:rPr>
          <w:noProof/>
          <w:sz w:val="22"/>
          <w:szCs w:val="22"/>
        </w:rPr>
        <w:drawing>
          <wp:inline distT="0" distB="0" distL="0" distR="0" wp14:anchorId="6AAC0596" wp14:editId="752D83A9">
            <wp:extent cx="3108960" cy="2707490"/>
            <wp:effectExtent l="0" t="0" r="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2707490"/>
                    </a:xfrm>
                    <a:prstGeom prst="rect">
                      <a:avLst/>
                    </a:prstGeom>
                    <a:noFill/>
                    <a:ln>
                      <a:noFill/>
                    </a:ln>
                  </pic:spPr>
                </pic:pic>
              </a:graphicData>
            </a:graphic>
          </wp:inline>
        </w:drawing>
      </w:r>
    </w:p>
    <w:p w14:paraId="240B9DB6" w14:textId="627AB69C" w:rsidR="005F2F61" w:rsidRDefault="005F2F61" w:rsidP="005F2F61">
      <w:pPr>
        <w:keepNext/>
        <w:widowControl w:val="0"/>
        <w:adjustRightInd w:val="0"/>
      </w:pPr>
    </w:p>
    <w:p w14:paraId="0B463D97" w14:textId="13304355" w:rsidR="008C2C01" w:rsidRPr="00D86EEA" w:rsidRDefault="005F2F61" w:rsidP="00D86EEA">
      <w:pPr>
        <w:pStyle w:val="Caption"/>
        <w:jc w:val="center"/>
      </w:pPr>
      <w:r>
        <w:t xml:space="preserve">Figure </w:t>
      </w:r>
      <w:fldSimple w:instr=" SEQ Figure \* ARABIC ">
        <w:r w:rsidR="003E5E9B">
          <w:rPr>
            <w:noProof/>
          </w:rPr>
          <w:t>3</w:t>
        </w:r>
      </w:fldSimple>
      <w:r>
        <w:t>: Scree Plot and Logistic Regression Misclassification Error</w:t>
      </w:r>
    </w:p>
    <w:p w14:paraId="2639A4B3" w14:textId="172B01A6" w:rsidR="000E2DAF" w:rsidRDefault="00FB5EF0" w:rsidP="00FB5EF0">
      <w:pPr>
        <w:widowControl w:val="0"/>
        <w:adjustRightInd w:val="0"/>
        <w:ind w:firstLine="202"/>
        <w:rPr>
          <w:sz w:val="22"/>
          <w:szCs w:val="22"/>
        </w:rPr>
      </w:pPr>
      <w:r>
        <w:rPr>
          <w:sz w:val="22"/>
          <w:szCs w:val="22"/>
        </w:rPr>
        <w:t xml:space="preserve">This result further justifies using the more simple </w:t>
      </w:r>
      <w:r>
        <w:rPr>
          <w:sz w:val="22"/>
          <w:szCs w:val="22"/>
        </w:rPr>
        <w:lastRenderedPageBreak/>
        <w:t>logistic regression model from the previous section. It also provides support for the hypothesis that there seems to be a maximum level of predictive accuracy</w:t>
      </w:r>
      <w:r w:rsidR="00DA3E6B">
        <w:rPr>
          <w:sz w:val="22"/>
          <w:szCs w:val="22"/>
        </w:rPr>
        <w:t xml:space="preserve"> that</w:t>
      </w:r>
      <w:r>
        <w:rPr>
          <w:sz w:val="22"/>
          <w:szCs w:val="22"/>
        </w:rPr>
        <w:t xml:space="preserve"> one can achieve</w:t>
      </w:r>
      <w:r w:rsidR="000E2DAF">
        <w:rPr>
          <w:sz w:val="22"/>
          <w:szCs w:val="22"/>
        </w:rPr>
        <w:t xml:space="preserve"> given the current data</w:t>
      </w:r>
      <w:r>
        <w:rPr>
          <w:sz w:val="22"/>
          <w:szCs w:val="22"/>
        </w:rPr>
        <w:t>. A rough estimate for t</w:t>
      </w:r>
      <w:r w:rsidR="00F01942">
        <w:rPr>
          <w:sz w:val="22"/>
          <w:szCs w:val="22"/>
        </w:rPr>
        <w:t>his supposed maximum level is 70</w:t>
      </w:r>
      <w:r>
        <w:rPr>
          <w:sz w:val="22"/>
          <w:szCs w:val="22"/>
        </w:rPr>
        <w:t>%.</w:t>
      </w:r>
    </w:p>
    <w:p w14:paraId="49E0B270" w14:textId="4DAF5185" w:rsidR="001E31AA" w:rsidRDefault="00FB5EF0" w:rsidP="00FB5EF0">
      <w:pPr>
        <w:pStyle w:val="Heading1"/>
      </w:pPr>
      <w:r>
        <w:t>Summary</w:t>
      </w:r>
    </w:p>
    <w:p w14:paraId="7109DF59" w14:textId="77777777" w:rsidR="00F01942" w:rsidRDefault="00FB5EF0" w:rsidP="00F01942">
      <w:pPr>
        <w:widowControl w:val="0"/>
        <w:adjustRightInd w:val="0"/>
        <w:ind w:firstLine="202"/>
        <w:rPr>
          <w:sz w:val="22"/>
          <w:szCs w:val="22"/>
        </w:rPr>
      </w:pPr>
      <w:r w:rsidRPr="000E2DAF">
        <w:rPr>
          <w:sz w:val="22"/>
          <w:szCs w:val="22"/>
        </w:rPr>
        <w:t xml:space="preserve">We have shown that it is possible to effectively predict the </w:t>
      </w:r>
      <w:r w:rsidRPr="00FB5EF0">
        <w:rPr>
          <w:sz w:val="22"/>
          <w:szCs w:val="22"/>
        </w:rPr>
        <w:t xml:space="preserve">outcome of NBA games using logistic regression on past game statistics. </w:t>
      </w:r>
    </w:p>
    <w:p w14:paraId="41CBFE4C" w14:textId="3525BD8B" w:rsidR="00F01942" w:rsidRDefault="000E2DAF" w:rsidP="00F01942">
      <w:pPr>
        <w:widowControl w:val="0"/>
        <w:adjustRightInd w:val="0"/>
        <w:ind w:firstLine="202"/>
        <w:rPr>
          <w:sz w:val="22"/>
          <w:szCs w:val="22"/>
        </w:rPr>
      </w:pPr>
      <w:r>
        <w:rPr>
          <w:sz w:val="22"/>
          <w:szCs w:val="22"/>
        </w:rPr>
        <w:t>At the beginning of the analysis we presented</w:t>
      </w:r>
      <w:r w:rsidR="00F01942">
        <w:rPr>
          <w:sz w:val="22"/>
          <w:szCs w:val="22"/>
        </w:rPr>
        <w:t xml:space="preserve"> a method for identifying the most influential statistics for predicting the outcome of a game, concluding that teams’ past score differential is consistently the </w:t>
      </w:r>
      <w:r>
        <w:rPr>
          <w:sz w:val="22"/>
          <w:szCs w:val="22"/>
        </w:rPr>
        <w:t>most important metric</w:t>
      </w:r>
      <w:r w:rsidR="00F01942">
        <w:rPr>
          <w:sz w:val="22"/>
          <w:szCs w:val="22"/>
        </w:rPr>
        <w:t>.</w:t>
      </w:r>
    </w:p>
    <w:p w14:paraId="3A40829D" w14:textId="39C60840" w:rsidR="00F01942" w:rsidRDefault="000E2DAF" w:rsidP="00F01942">
      <w:pPr>
        <w:widowControl w:val="0"/>
        <w:adjustRightInd w:val="0"/>
        <w:ind w:firstLine="202"/>
        <w:rPr>
          <w:sz w:val="22"/>
          <w:szCs w:val="22"/>
        </w:rPr>
      </w:pPr>
      <w:r>
        <w:rPr>
          <w:sz w:val="22"/>
          <w:szCs w:val="22"/>
        </w:rPr>
        <w:t>Then, a</w:t>
      </w:r>
      <w:r w:rsidR="00F01942">
        <w:rPr>
          <w:sz w:val="22"/>
          <w:szCs w:val="22"/>
        </w:rPr>
        <w:t xml:space="preserve"> multivariate logistic regression model</w:t>
      </w:r>
      <w:r w:rsidRPr="000E2DAF">
        <w:rPr>
          <w:sz w:val="22"/>
          <w:szCs w:val="22"/>
        </w:rPr>
        <w:t xml:space="preserve"> </w:t>
      </w:r>
      <w:r>
        <w:rPr>
          <w:sz w:val="22"/>
          <w:szCs w:val="22"/>
        </w:rPr>
        <w:t>was generated</w:t>
      </w:r>
      <w:r w:rsidR="005D1B7D">
        <w:rPr>
          <w:sz w:val="22"/>
          <w:szCs w:val="22"/>
        </w:rPr>
        <w:t xml:space="preserve"> based</w:t>
      </w:r>
      <w:r w:rsidR="00F01942">
        <w:rPr>
          <w:sz w:val="22"/>
          <w:szCs w:val="22"/>
        </w:rPr>
        <w:t xml:space="preserve"> on the top </w:t>
      </w:r>
      <w:r w:rsidR="005D1B7D">
        <w:rPr>
          <w:sz w:val="22"/>
          <w:szCs w:val="22"/>
        </w:rPr>
        <w:t>five most influential statistics</w:t>
      </w:r>
      <w:r w:rsidR="00F01942">
        <w:rPr>
          <w:sz w:val="22"/>
          <w:szCs w:val="22"/>
        </w:rPr>
        <w:t xml:space="preserve">, achieving a relatively low misclassification error rate of </w:t>
      </w:r>
      <w:r>
        <w:rPr>
          <w:sz w:val="22"/>
          <w:szCs w:val="22"/>
        </w:rPr>
        <w:t xml:space="preserve">approximately </w:t>
      </w:r>
      <w:r w:rsidR="00F01942">
        <w:rPr>
          <w:sz w:val="22"/>
          <w:szCs w:val="22"/>
        </w:rPr>
        <w:t xml:space="preserve">33%, </w:t>
      </w:r>
      <w:r w:rsidR="00320478">
        <w:rPr>
          <w:sz w:val="22"/>
          <w:szCs w:val="22"/>
        </w:rPr>
        <w:t>yet still maintaining both simplicity</w:t>
      </w:r>
      <w:r w:rsidR="005D1B7D">
        <w:rPr>
          <w:sz w:val="22"/>
          <w:szCs w:val="22"/>
        </w:rPr>
        <w:t xml:space="preserve"> and model</w:t>
      </w:r>
      <w:r w:rsidR="00320478">
        <w:rPr>
          <w:sz w:val="22"/>
          <w:szCs w:val="22"/>
        </w:rPr>
        <w:t xml:space="preserve"> interpretability</w:t>
      </w:r>
      <w:r w:rsidR="00F01942">
        <w:rPr>
          <w:sz w:val="22"/>
          <w:szCs w:val="22"/>
        </w:rPr>
        <w:t xml:space="preserve">. </w:t>
      </w:r>
    </w:p>
    <w:p w14:paraId="4CC8C50B" w14:textId="2F1E7970" w:rsidR="00FB5EF0" w:rsidRPr="00F01942" w:rsidRDefault="00A5227F" w:rsidP="00F01942">
      <w:pPr>
        <w:widowControl w:val="0"/>
        <w:adjustRightInd w:val="0"/>
        <w:ind w:firstLine="202"/>
        <w:rPr>
          <w:sz w:val="22"/>
          <w:szCs w:val="22"/>
        </w:rPr>
      </w:pPr>
      <w:r>
        <w:rPr>
          <w:sz w:val="22"/>
          <w:szCs w:val="22"/>
        </w:rPr>
        <w:t xml:space="preserve">Finally, we </w:t>
      </w:r>
      <w:r w:rsidR="00F01942">
        <w:rPr>
          <w:sz w:val="22"/>
          <w:szCs w:val="22"/>
        </w:rPr>
        <w:t>co</w:t>
      </w:r>
      <w:r>
        <w:rPr>
          <w:sz w:val="22"/>
          <w:szCs w:val="22"/>
        </w:rPr>
        <w:t>mpared this simple model to a much more complicated logistic regression model whose predictors were det</w:t>
      </w:r>
      <w:r w:rsidR="000E2DAF">
        <w:rPr>
          <w:sz w:val="22"/>
          <w:szCs w:val="22"/>
        </w:rPr>
        <w:t>ermined using Principal Component Analysis</w:t>
      </w:r>
      <w:r>
        <w:rPr>
          <w:sz w:val="22"/>
          <w:szCs w:val="22"/>
        </w:rPr>
        <w:t>. To our surprise, the more complex model was not able to achieve a higher predictive accuracy, suggesting that there may be an inherent limit on statistical learning methods’ ability to p</w:t>
      </w:r>
      <w:r w:rsidR="000E2DAF">
        <w:rPr>
          <w:sz w:val="22"/>
          <w:szCs w:val="22"/>
        </w:rPr>
        <w:t>redict the outcome of NBA games given the current data set.</w:t>
      </w:r>
      <w:r>
        <w:rPr>
          <w:sz w:val="22"/>
          <w:szCs w:val="22"/>
        </w:rPr>
        <w:t xml:space="preserve"> </w:t>
      </w:r>
    </w:p>
    <w:p w14:paraId="30DABB8A" w14:textId="77777777" w:rsidR="00FB5EF0" w:rsidRDefault="00FB5EF0" w:rsidP="00FB5EF0">
      <w:pPr>
        <w:widowControl w:val="0"/>
        <w:adjustRightInd w:val="0"/>
        <w:ind w:firstLine="202"/>
        <w:rPr>
          <w:sz w:val="22"/>
          <w:szCs w:val="22"/>
        </w:rPr>
      </w:pPr>
    </w:p>
    <w:p w14:paraId="1F746E7E" w14:textId="77777777" w:rsidR="001E31AA" w:rsidRDefault="001E31AA" w:rsidP="00C40883">
      <w:pPr>
        <w:widowControl w:val="0"/>
        <w:adjustRightInd w:val="0"/>
        <w:ind w:firstLine="202"/>
        <w:rPr>
          <w:sz w:val="22"/>
          <w:szCs w:val="22"/>
        </w:rPr>
      </w:pPr>
    </w:p>
    <w:p w14:paraId="50BF936A" w14:textId="77777777" w:rsidR="001E31AA" w:rsidRDefault="001E31AA" w:rsidP="00C40883">
      <w:pPr>
        <w:widowControl w:val="0"/>
        <w:adjustRightInd w:val="0"/>
        <w:ind w:firstLine="202"/>
        <w:rPr>
          <w:sz w:val="22"/>
          <w:szCs w:val="22"/>
        </w:rPr>
      </w:pPr>
    </w:p>
    <w:p w14:paraId="608739D3" w14:textId="77777777" w:rsidR="001E31AA" w:rsidRDefault="001E31AA" w:rsidP="00C40883">
      <w:pPr>
        <w:widowControl w:val="0"/>
        <w:adjustRightInd w:val="0"/>
        <w:ind w:firstLine="202"/>
        <w:rPr>
          <w:sz w:val="22"/>
          <w:szCs w:val="22"/>
        </w:rPr>
      </w:pPr>
    </w:p>
    <w:p w14:paraId="3EC23835" w14:textId="77777777" w:rsidR="001E31AA" w:rsidRDefault="001E31AA" w:rsidP="00C40883">
      <w:pPr>
        <w:widowControl w:val="0"/>
        <w:adjustRightInd w:val="0"/>
        <w:ind w:firstLine="202"/>
        <w:rPr>
          <w:sz w:val="22"/>
          <w:szCs w:val="22"/>
        </w:rPr>
      </w:pPr>
    </w:p>
    <w:p w14:paraId="3BF319F4" w14:textId="77777777" w:rsidR="001E31AA" w:rsidRDefault="001E31AA" w:rsidP="00C40883">
      <w:pPr>
        <w:widowControl w:val="0"/>
        <w:adjustRightInd w:val="0"/>
        <w:ind w:firstLine="202"/>
        <w:rPr>
          <w:sz w:val="22"/>
          <w:szCs w:val="22"/>
        </w:rPr>
      </w:pPr>
    </w:p>
    <w:p w14:paraId="7C1BB1BD" w14:textId="69AA0288" w:rsidR="006B5138" w:rsidRPr="00320478" w:rsidRDefault="006B5138" w:rsidP="00320478">
      <w:pPr>
        <w:widowControl w:val="0"/>
        <w:adjustRightInd w:val="0"/>
        <w:rPr>
          <w:sz w:val="22"/>
          <w:szCs w:val="22"/>
        </w:rPr>
      </w:pPr>
    </w:p>
    <w:p w14:paraId="5B983CF1" w14:textId="261D9362" w:rsidR="008F550F" w:rsidRPr="002F5C08" w:rsidRDefault="008F550F" w:rsidP="00D86EEA">
      <w:pPr>
        <w:pStyle w:val="References"/>
        <w:numPr>
          <w:ilvl w:val="0"/>
          <w:numId w:val="0"/>
        </w:numPr>
      </w:pPr>
    </w:p>
    <w:sectPr w:rsidR="008F550F" w:rsidRPr="002F5C08" w:rsidSect="00E23C90">
      <w:headerReference w:type="default" r:id="rId15"/>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B699CEB" w14:textId="77777777" w:rsidR="00F4315B" w:rsidRDefault="00F4315B">
      <w:r>
        <w:separator/>
      </w:r>
    </w:p>
  </w:endnote>
  <w:endnote w:type="continuationSeparator" w:id="0">
    <w:p w14:paraId="632DCF80" w14:textId="77777777" w:rsidR="00F4315B" w:rsidRDefault="00F4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B61A1B6" w14:textId="77777777" w:rsidR="00F4315B" w:rsidRDefault="00F4315B"/>
  </w:footnote>
  <w:footnote w:type="continuationSeparator" w:id="0">
    <w:p w14:paraId="413F0507" w14:textId="77777777" w:rsidR="00F4315B" w:rsidRDefault="00F4315B">
      <w:r>
        <w:continuationSeparator/>
      </w:r>
    </w:p>
  </w:footnote>
  <w:footnote w:id="1">
    <w:p w14:paraId="0034236E" w14:textId="77777777" w:rsidR="00D33FE1" w:rsidRDefault="00D33FE1" w:rsidP="007C16C8">
      <w:pPr>
        <w:pStyle w:val="FootnoteText"/>
        <w:ind w:firstLine="0"/>
      </w:pPr>
    </w:p>
  </w:footnote>
  <w:footnote w:id="2">
    <w:p w14:paraId="2F62B2F9" w14:textId="52155109" w:rsidR="00D33FE1" w:rsidRDefault="00D33FE1">
      <w:pPr>
        <w:pStyle w:val="FootnoteText"/>
      </w:pPr>
      <w:r>
        <w:rPr>
          <w:rStyle w:val="FootnoteReference"/>
        </w:rPr>
        <w:footnoteRef/>
      </w:r>
      <w:r>
        <w:t xml:space="preserve"> Note that this estimate is not completely accurate because the 2011-12 NBA season endured a lockout period, cutting the number of games from 82 per season to 66. </w:t>
      </w:r>
    </w:p>
  </w:footnote>
  <w:footnote w:id="3">
    <w:p w14:paraId="473FDD40" w14:textId="11326BB1" w:rsidR="00D33FE1" w:rsidRDefault="00D33FE1">
      <w:pPr>
        <w:pStyle w:val="FootnoteText"/>
      </w:pPr>
      <w:r>
        <w:rPr>
          <w:rStyle w:val="FootnoteReference"/>
        </w:rPr>
        <w:footnoteRef/>
      </w:r>
      <w:r>
        <w:t xml:space="preserve"> To be clear, the moving average does not include the statistics from the game for which the probability is being estimated. This is a slight variation on a traditional moving average. </w:t>
      </w:r>
    </w:p>
  </w:footnote>
  <w:footnote w:id="4">
    <w:p w14:paraId="6D607A9A" w14:textId="5C4791D4" w:rsidR="00D33FE1" w:rsidRDefault="00D33FE1">
      <w:pPr>
        <w:pStyle w:val="FootnoteText"/>
      </w:pPr>
      <w:r>
        <w:rPr>
          <w:rStyle w:val="FootnoteReference"/>
        </w:rPr>
        <w:footnoteRef/>
      </w:r>
      <w:r>
        <w:t xml:space="preserve"> Note that the first </w:t>
      </w:r>
      <m:oMath>
        <m:r>
          <w:rPr>
            <w:rFonts w:ascii="Cambria Math" w:hAnsi="Cambria Math"/>
          </w:rPr>
          <m:t>n</m:t>
        </m:r>
      </m:oMath>
      <w:r>
        <w:t xml:space="preserve"> games of every season are used to initialize the moving averages</w:t>
      </w:r>
    </w:p>
  </w:footnote>
  <w:footnote w:id="5">
    <w:p w14:paraId="3917D927" w14:textId="77777777" w:rsidR="00D33FE1" w:rsidRDefault="00D33FE1" w:rsidP="006A144B">
      <w:pPr>
        <w:pStyle w:val="FootnoteText"/>
      </w:pPr>
      <w:r>
        <w:rPr>
          <w:rStyle w:val="FootnoteReference"/>
        </w:rPr>
        <w:footnoteRef/>
      </w:r>
      <w:r>
        <w:t xml:space="preserve"> </w:t>
      </w:r>
      <w:r>
        <w:rPr>
          <w:sz w:val="22"/>
          <w:szCs w:val="22"/>
        </w:rPr>
        <w:t>ignoring differences of +/- 1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DE317" w14:textId="77777777" w:rsidR="00D33FE1" w:rsidRDefault="00D33FE1">
    <w:pPr>
      <w:framePr w:wrap="auto" w:vAnchor="text" w:hAnchor="margin" w:xAlign="right" w:y="1"/>
    </w:pPr>
  </w:p>
  <w:p w14:paraId="247DB69C" w14:textId="77777777" w:rsidR="00D33FE1" w:rsidRDefault="00D33FE1">
    <w:pPr>
      <w:ind w:right="360"/>
    </w:pPr>
  </w:p>
  <w:p w14:paraId="05D33C91" w14:textId="77777777" w:rsidR="00D33FE1" w:rsidRDefault="00D33FE1">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FB"/>
    <w:multiLevelType w:val="multilevel"/>
    <w:tmpl w:val="7C08DF8E"/>
    <w:lvl w:ilvl="0">
      <w:start w:val="1"/>
      <w:numFmt w:val="upperRoman"/>
      <w:pStyle w:val="Heading1"/>
      <w:lvlText w:val="%1."/>
      <w:lvlJc w:val="left"/>
      <w:pPr>
        <w:ind w:left="4410" w:firstLine="0"/>
      </w:pPr>
      <w:rPr>
        <w:rFonts w:hint="default"/>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1C9241A5"/>
    <w:multiLevelType w:val="hybridMultilevel"/>
    <w:tmpl w:val="56F6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F412F"/>
    <w:multiLevelType w:val="hybridMultilevel"/>
    <w:tmpl w:val="B460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03254"/>
    <w:multiLevelType w:val="hybridMultilevel"/>
    <w:tmpl w:val="E21A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9EA7E92"/>
    <w:multiLevelType w:val="hybridMultilevel"/>
    <w:tmpl w:val="09705E4C"/>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3B8A5F74"/>
    <w:multiLevelType w:val="hybridMultilevel"/>
    <w:tmpl w:val="8098A756"/>
    <w:lvl w:ilvl="0" w:tplc="0409000F">
      <w:start w:val="1"/>
      <w:numFmt w:val="decimal"/>
      <w:lvlText w:val="%1."/>
      <w:lvlJc w:val="left"/>
      <w:pPr>
        <w:ind w:left="562" w:hanging="360"/>
      </w:pPr>
    </w:lvl>
    <w:lvl w:ilvl="1" w:tplc="04090019">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nsid w:val="4E5E257F"/>
    <w:multiLevelType w:val="hybridMultilevel"/>
    <w:tmpl w:val="49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30736"/>
    <w:multiLevelType w:val="singleLevel"/>
    <w:tmpl w:val="0BEC9FB0"/>
    <w:lvl w:ilvl="0">
      <w:start w:val="1"/>
      <w:numFmt w:val="none"/>
      <w:lvlText w:val=""/>
      <w:legacy w:legacy="1" w:legacySpace="0" w:legacyIndent="0"/>
      <w:lvlJc w:val="left"/>
      <w:pPr>
        <w:ind w:left="288"/>
      </w:pPr>
    </w:lvl>
  </w:abstractNum>
  <w:abstractNum w:abstractNumId="16">
    <w:nsid w:val="5F6E462D"/>
    <w:multiLevelType w:val="hybridMultilevel"/>
    <w:tmpl w:val="022E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AA5D77"/>
    <w:multiLevelType w:val="hybridMultilevel"/>
    <w:tmpl w:val="D63E9B4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8">
    <w:nsid w:val="65455F9E"/>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9">
    <w:nsid w:val="6DC3293B"/>
    <w:multiLevelType w:val="singleLevel"/>
    <w:tmpl w:val="3A8EC28E"/>
    <w:lvl w:ilvl="0">
      <w:start w:val="1"/>
      <w:numFmt w:val="decimal"/>
      <w:lvlText w:val="[%1]"/>
      <w:lvlJc w:val="left"/>
      <w:pPr>
        <w:tabs>
          <w:tab w:val="num" w:pos="360"/>
        </w:tabs>
        <w:ind w:left="360" w:hanging="360"/>
      </w:pPr>
    </w:lvl>
  </w:abstractNum>
  <w:abstractNum w:abstractNumId="20">
    <w:nsid w:val="6F4444BE"/>
    <w:multiLevelType w:val="hybridMultilevel"/>
    <w:tmpl w:val="DB444206"/>
    <w:lvl w:ilvl="0" w:tplc="0409000F">
      <w:start w:val="1"/>
      <w:numFmt w:val="decimal"/>
      <w:lvlText w:val="%1."/>
      <w:lvlJc w:val="left"/>
      <w:pPr>
        <w:ind w:left="590" w:hanging="360"/>
      </w:p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1"/>
  </w:num>
  <w:num w:numId="14">
    <w:abstractNumId w:val="15"/>
  </w:num>
  <w:num w:numId="15">
    <w:abstractNumId w:val="13"/>
  </w:num>
  <w:num w:numId="16">
    <w:abstractNumId w:val="21"/>
  </w:num>
  <w:num w:numId="17">
    <w:abstractNumId w:val="6"/>
  </w:num>
  <w:num w:numId="18">
    <w:abstractNumId w:val="5"/>
  </w:num>
  <w:num w:numId="19">
    <w:abstractNumId w:val="19"/>
  </w:num>
  <w:num w:numId="20">
    <w:abstractNumId w:val="10"/>
  </w:num>
  <w:num w:numId="21">
    <w:abstractNumId w:val="1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2"/>
  </w:num>
  <w:num w:numId="25">
    <w:abstractNumId w:val="8"/>
  </w:num>
  <w:num w:numId="26">
    <w:abstractNumId w:val="4"/>
  </w:num>
  <w:num w:numId="27">
    <w:abstractNumId w:val="3"/>
  </w:num>
  <w:num w:numId="28">
    <w:abstractNumId w:val="16"/>
  </w:num>
  <w:num w:numId="29">
    <w:abstractNumId w:val="20"/>
  </w:num>
  <w:num w:numId="30">
    <w:abstractNumId w:val="1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DB5"/>
    <w:rsid w:val="000032D4"/>
    <w:rsid w:val="00015147"/>
    <w:rsid w:val="0002027C"/>
    <w:rsid w:val="0002215F"/>
    <w:rsid w:val="000257DC"/>
    <w:rsid w:val="00026C06"/>
    <w:rsid w:val="00036664"/>
    <w:rsid w:val="00044043"/>
    <w:rsid w:val="000458F4"/>
    <w:rsid w:val="000530D3"/>
    <w:rsid w:val="00054EEF"/>
    <w:rsid w:val="0005673E"/>
    <w:rsid w:val="000612FF"/>
    <w:rsid w:val="00077C95"/>
    <w:rsid w:val="000826A5"/>
    <w:rsid w:val="00084AE1"/>
    <w:rsid w:val="000B0471"/>
    <w:rsid w:val="000D3C57"/>
    <w:rsid w:val="000E1821"/>
    <w:rsid w:val="000E21A0"/>
    <w:rsid w:val="000E2DAF"/>
    <w:rsid w:val="000E7953"/>
    <w:rsid w:val="00121E06"/>
    <w:rsid w:val="00134801"/>
    <w:rsid w:val="001418AA"/>
    <w:rsid w:val="00153754"/>
    <w:rsid w:val="0015754D"/>
    <w:rsid w:val="00181668"/>
    <w:rsid w:val="00187265"/>
    <w:rsid w:val="00190B3A"/>
    <w:rsid w:val="00197CD3"/>
    <w:rsid w:val="001B5B49"/>
    <w:rsid w:val="001C2B5E"/>
    <w:rsid w:val="001C2F76"/>
    <w:rsid w:val="001C3DC4"/>
    <w:rsid w:val="001D0B1D"/>
    <w:rsid w:val="001D36BA"/>
    <w:rsid w:val="001D69B3"/>
    <w:rsid w:val="001D719B"/>
    <w:rsid w:val="001E31AA"/>
    <w:rsid w:val="001E375C"/>
    <w:rsid w:val="0021192C"/>
    <w:rsid w:val="00234C2C"/>
    <w:rsid w:val="00242577"/>
    <w:rsid w:val="0024503A"/>
    <w:rsid w:val="00247B6F"/>
    <w:rsid w:val="00251F69"/>
    <w:rsid w:val="002535F3"/>
    <w:rsid w:val="00276CDA"/>
    <w:rsid w:val="00280049"/>
    <w:rsid w:val="002900AC"/>
    <w:rsid w:val="00292211"/>
    <w:rsid w:val="002A45BB"/>
    <w:rsid w:val="002A78F0"/>
    <w:rsid w:val="002C3299"/>
    <w:rsid w:val="002C46F8"/>
    <w:rsid w:val="002C629C"/>
    <w:rsid w:val="002D6335"/>
    <w:rsid w:val="002F055D"/>
    <w:rsid w:val="002F5339"/>
    <w:rsid w:val="002F5C08"/>
    <w:rsid w:val="0030569E"/>
    <w:rsid w:val="00320478"/>
    <w:rsid w:val="00322BF4"/>
    <w:rsid w:val="003437A6"/>
    <w:rsid w:val="0035682B"/>
    <w:rsid w:val="003613C0"/>
    <w:rsid w:val="00363798"/>
    <w:rsid w:val="00363ED7"/>
    <w:rsid w:val="003658E1"/>
    <w:rsid w:val="00381D00"/>
    <w:rsid w:val="00387567"/>
    <w:rsid w:val="00387704"/>
    <w:rsid w:val="003A517B"/>
    <w:rsid w:val="003A5B0C"/>
    <w:rsid w:val="003A7CDA"/>
    <w:rsid w:val="003B064B"/>
    <w:rsid w:val="003B268D"/>
    <w:rsid w:val="003C70DC"/>
    <w:rsid w:val="003C7E1D"/>
    <w:rsid w:val="003D4332"/>
    <w:rsid w:val="003D4BD4"/>
    <w:rsid w:val="003E437C"/>
    <w:rsid w:val="003E5E9B"/>
    <w:rsid w:val="003E765B"/>
    <w:rsid w:val="003F180D"/>
    <w:rsid w:val="003F2D48"/>
    <w:rsid w:val="004013F6"/>
    <w:rsid w:val="004159C5"/>
    <w:rsid w:val="00424177"/>
    <w:rsid w:val="00426074"/>
    <w:rsid w:val="004507EF"/>
    <w:rsid w:val="00452DB5"/>
    <w:rsid w:val="004602A7"/>
    <w:rsid w:val="0046042E"/>
    <w:rsid w:val="0046123F"/>
    <w:rsid w:val="00461E57"/>
    <w:rsid w:val="0047548D"/>
    <w:rsid w:val="00494061"/>
    <w:rsid w:val="00495A67"/>
    <w:rsid w:val="004B523E"/>
    <w:rsid w:val="004C2C69"/>
    <w:rsid w:val="004E467C"/>
    <w:rsid w:val="00505BCE"/>
    <w:rsid w:val="00506662"/>
    <w:rsid w:val="00506F95"/>
    <w:rsid w:val="0052518F"/>
    <w:rsid w:val="00533321"/>
    <w:rsid w:val="00555E20"/>
    <w:rsid w:val="00557259"/>
    <w:rsid w:val="00562445"/>
    <w:rsid w:val="00572AD2"/>
    <w:rsid w:val="00580999"/>
    <w:rsid w:val="005846D3"/>
    <w:rsid w:val="00590571"/>
    <w:rsid w:val="0059371F"/>
    <w:rsid w:val="005A5A9B"/>
    <w:rsid w:val="005C25D9"/>
    <w:rsid w:val="005C3D0E"/>
    <w:rsid w:val="005D1B7D"/>
    <w:rsid w:val="005D1F56"/>
    <w:rsid w:val="005D3B98"/>
    <w:rsid w:val="005D52DA"/>
    <w:rsid w:val="005E4383"/>
    <w:rsid w:val="005F2F61"/>
    <w:rsid w:val="005F67E7"/>
    <w:rsid w:val="006014FD"/>
    <w:rsid w:val="00607C0C"/>
    <w:rsid w:val="006214C1"/>
    <w:rsid w:val="0062633C"/>
    <w:rsid w:val="0063594B"/>
    <w:rsid w:val="00637679"/>
    <w:rsid w:val="0064094A"/>
    <w:rsid w:val="00645DFC"/>
    <w:rsid w:val="006539E4"/>
    <w:rsid w:val="00655FFF"/>
    <w:rsid w:val="00656DFC"/>
    <w:rsid w:val="006645BB"/>
    <w:rsid w:val="00667245"/>
    <w:rsid w:val="0067662A"/>
    <w:rsid w:val="006A144B"/>
    <w:rsid w:val="006A6472"/>
    <w:rsid w:val="006B1AE8"/>
    <w:rsid w:val="006B5138"/>
    <w:rsid w:val="006E323B"/>
    <w:rsid w:val="006F141B"/>
    <w:rsid w:val="00700696"/>
    <w:rsid w:val="00703EEF"/>
    <w:rsid w:val="00724E88"/>
    <w:rsid w:val="007312F1"/>
    <w:rsid w:val="007328A2"/>
    <w:rsid w:val="00740EBE"/>
    <w:rsid w:val="00741A17"/>
    <w:rsid w:val="00762037"/>
    <w:rsid w:val="007670F7"/>
    <w:rsid w:val="0077106E"/>
    <w:rsid w:val="00780EBA"/>
    <w:rsid w:val="00792DA5"/>
    <w:rsid w:val="007A0D15"/>
    <w:rsid w:val="007C16C8"/>
    <w:rsid w:val="007E0D28"/>
    <w:rsid w:val="007E26B5"/>
    <w:rsid w:val="007E270D"/>
    <w:rsid w:val="007F6FE7"/>
    <w:rsid w:val="007F78CF"/>
    <w:rsid w:val="00803C1E"/>
    <w:rsid w:val="00807A4C"/>
    <w:rsid w:val="00811A52"/>
    <w:rsid w:val="00837340"/>
    <w:rsid w:val="00840D86"/>
    <w:rsid w:val="00842618"/>
    <w:rsid w:val="00851278"/>
    <w:rsid w:val="00863ACE"/>
    <w:rsid w:val="00863FD3"/>
    <w:rsid w:val="008822F7"/>
    <w:rsid w:val="00897787"/>
    <w:rsid w:val="008C1303"/>
    <w:rsid w:val="008C2C01"/>
    <w:rsid w:val="008C3B31"/>
    <w:rsid w:val="008C41FF"/>
    <w:rsid w:val="008D69B8"/>
    <w:rsid w:val="008D764F"/>
    <w:rsid w:val="008F1BE9"/>
    <w:rsid w:val="008F550F"/>
    <w:rsid w:val="008F75BB"/>
    <w:rsid w:val="00907088"/>
    <w:rsid w:val="009266EF"/>
    <w:rsid w:val="00926A37"/>
    <w:rsid w:val="00927C0F"/>
    <w:rsid w:val="00931919"/>
    <w:rsid w:val="00934D03"/>
    <w:rsid w:val="00951F0A"/>
    <w:rsid w:val="00952FC1"/>
    <w:rsid w:val="00960825"/>
    <w:rsid w:val="00982C1F"/>
    <w:rsid w:val="00990266"/>
    <w:rsid w:val="009A0618"/>
    <w:rsid w:val="009A5A22"/>
    <w:rsid w:val="009B6B1B"/>
    <w:rsid w:val="009C7871"/>
    <w:rsid w:val="009C7A19"/>
    <w:rsid w:val="009D0E04"/>
    <w:rsid w:val="00A02C76"/>
    <w:rsid w:val="00A103DC"/>
    <w:rsid w:val="00A23639"/>
    <w:rsid w:val="00A24F81"/>
    <w:rsid w:val="00A37260"/>
    <w:rsid w:val="00A4580C"/>
    <w:rsid w:val="00A5227F"/>
    <w:rsid w:val="00A5313A"/>
    <w:rsid w:val="00A53FD0"/>
    <w:rsid w:val="00A63438"/>
    <w:rsid w:val="00A65410"/>
    <w:rsid w:val="00A73119"/>
    <w:rsid w:val="00A809BD"/>
    <w:rsid w:val="00A847EE"/>
    <w:rsid w:val="00A868EE"/>
    <w:rsid w:val="00A953DC"/>
    <w:rsid w:val="00AA0184"/>
    <w:rsid w:val="00AA20D5"/>
    <w:rsid w:val="00AA67FC"/>
    <w:rsid w:val="00AB55C6"/>
    <w:rsid w:val="00AD56F2"/>
    <w:rsid w:val="00AE422B"/>
    <w:rsid w:val="00B060FB"/>
    <w:rsid w:val="00B229E0"/>
    <w:rsid w:val="00B34400"/>
    <w:rsid w:val="00B35301"/>
    <w:rsid w:val="00B413E3"/>
    <w:rsid w:val="00B55F56"/>
    <w:rsid w:val="00B5728F"/>
    <w:rsid w:val="00B83CC3"/>
    <w:rsid w:val="00B94209"/>
    <w:rsid w:val="00B9513E"/>
    <w:rsid w:val="00BA0109"/>
    <w:rsid w:val="00BB7780"/>
    <w:rsid w:val="00BB7F5F"/>
    <w:rsid w:val="00BD10D8"/>
    <w:rsid w:val="00BE0BA6"/>
    <w:rsid w:val="00BF74EE"/>
    <w:rsid w:val="00C00547"/>
    <w:rsid w:val="00C0098C"/>
    <w:rsid w:val="00C03152"/>
    <w:rsid w:val="00C06E46"/>
    <w:rsid w:val="00C12A05"/>
    <w:rsid w:val="00C164F1"/>
    <w:rsid w:val="00C17BE4"/>
    <w:rsid w:val="00C264A7"/>
    <w:rsid w:val="00C2799F"/>
    <w:rsid w:val="00C40883"/>
    <w:rsid w:val="00C40C23"/>
    <w:rsid w:val="00C47B14"/>
    <w:rsid w:val="00C52FD6"/>
    <w:rsid w:val="00C62908"/>
    <w:rsid w:val="00C642C4"/>
    <w:rsid w:val="00C653AC"/>
    <w:rsid w:val="00C75E4D"/>
    <w:rsid w:val="00C80103"/>
    <w:rsid w:val="00C81602"/>
    <w:rsid w:val="00C9297F"/>
    <w:rsid w:val="00C94432"/>
    <w:rsid w:val="00CA73FB"/>
    <w:rsid w:val="00CB3E86"/>
    <w:rsid w:val="00CB5778"/>
    <w:rsid w:val="00CB61D5"/>
    <w:rsid w:val="00CC2DD6"/>
    <w:rsid w:val="00CC38C9"/>
    <w:rsid w:val="00CD4E1C"/>
    <w:rsid w:val="00CE156A"/>
    <w:rsid w:val="00CF4D18"/>
    <w:rsid w:val="00D006D8"/>
    <w:rsid w:val="00D05CE6"/>
    <w:rsid w:val="00D06833"/>
    <w:rsid w:val="00D10D6E"/>
    <w:rsid w:val="00D26DED"/>
    <w:rsid w:val="00D33FE1"/>
    <w:rsid w:val="00D357C1"/>
    <w:rsid w:val="00D36D71"/>
    <w:rsid w:val="00D60C24"/>
    <w:rsid w:val="00D64FE3"/>
    <w:rsid w:val="00D676E9"/>
    <w:rsid w:val="00D67F82"/>
    <w:rsid w:val="00D814D1"/>
    <w:rsid w:val="00D86EEA"/>
    <w:rsid w:val="00D90627"/>
    <w:rsid w:val="00DA16D1"/>
    <w:rsid w:val="00DA2C5C"/>
    <w:rsid w:val="00DA3E6B"/>
    <w:rsid w:val="00DA7459"/>
    <w:rsid w:val="00DB34B1"/>
    <w:rsid w:val="00DC0239"/>
    <w:rsid w:val="00DC093F"/>
    <w:rsid w:val="00DC21EB"/>
    <w:rsid w:val="00DD4701"/>
    <w:rsid w:val="00DD48D1"/>
    <w:rsid w:val="00DE2149"/>
    <w:rsid w:val="00DE435F"/>
    <w:rsid w:val="00DE643B"/>
    <w:rsid w:val="00DE6F8B"/>
    <w:rsid w:val="00DF580E"/>
    <w:rsid w:val="00DF7386"/>
    <w:rsid w:val="00E1009B"/>
    <w:rsid w:val="00E1043C"/>
    <w:rsid w:val="00E15EB2"/>
    <w:rsid w:val="00E21957"/>
    <w:rsid w:val="00E23C90"/>
    <w:rsid w:val="00E24A43"/>
    <w:rsid w:val="00E24B09"/>
    <w:rsid w:val="00E27BBC"/>
    <w:rsid w:val="00E3124E"/>
    <w:rsid w:val="00E32144"/>
    <w:rsid w:val="00E53FDE"/>
    <w:rsid w:val="00E646EF"/>
    <w:rsid w:val="00E6696A"/>
    <w:rsid w:val="00E70784"/>
    <w:rsid w:val="00E77BB1"/>
    <w:rsid w:val="00E93BFB"/>
    <w:rsid w:val="00EA4EC1"/>
    <w:rsid w:val="00EB456B"/>
    <w:rsid w:val="00EE64FD"/>
    <w:rsid w:val="00F0140A"/>
    <w:rsid w:val="00F01942"/>
    <w:rsid w:val="00F1420B"/>
    <w:rsid w:val="00F15787"/>
    <w:rsid w:val="00F26CC5"/>
    <w:rsid w:val="00F275C1"/>
    <w:rsid w:val="00F36702"/>
    <w:rsid w:val="00F4315B"/>
    <w:rsid w:val="00F5275A"/>
    <w:rsid w:val="00F540A6"/>
    <w:rsid w:val="00F57009"/>
    <w:rsid w:val="00F63153"/>
    <w:rsid w:val="00F773F0"/>
    <w:rsid w:val="00F776A9"/>
    <w:rsid w:val="00F91D88"/>
    <w:rsid w:val="00F97C10"/>
    <w:rsid w:val="00FB03BF"/>
    <w:rsid w:val="00FB0910"/>
    <w:rsid w:val="00FB5E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9D7E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qFormat/>
    <w:pPr>
      <w:keepNext/>
      <w:numPr>
        <w:numId w:val="1"/>
      </w:numPr>
      <w:spacing w:before="240" w:after="80"/>
      <w:ind w:left="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link w:val="body-textChar"/>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table" w:styleId="TableGrid">
    <w:name w:val="Table Grid"/>
    <w:basedOn w:val="TableNormal"/>
    <w:uiPriority w:val="59"/>
    <w:rsid w:val="00D90627"/>
    <w:rPr>
      <w:rFonts w:ascii="Cambria" w:eastAsia="MS Mincho" w:hAnsi="Cambr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D4BD4"/>
    <w:rPr>
      <w:rFonts w:ascii="Tahoma" w:hAnsi="Tahoma" w:cs="Tahoma"/>
      <w:sz w:val="16"/>
      <w:szCs w:val="16"/>
    </w:rPr>
  </w:style>
  <w:style w:type="character" w:customStyle="1" w:styleId="BalloonTextChar">
    <w:name w:val="Balloon Text Char"/>
    <w:basedOn w:val="DefaultParagraphFont"/>
    <w:link w:val="BalloonText"/>
    <w:rsid w:val="003D4BD4"/>
    <w:rPr>
      <w:rFonts w:ascii="Tahoma" w:hAnsi="Tahoma" w:cs="Tahoma"/>
      <w:sz w:val="16"/>
      <w:szCs w:val="16"/>
    </w:rPr>
  </w:style>
  <w:style w:type="character" w:styleId="PlaceholderText">
    <w:name w:val="Placeholder Text"/>
    <w:basedOn w:val="DefaultParagraphFont"/>
    <w:uiPriority w:val="99"/>
    <w:semiHidden/>
    <w:rsid w:val="00DC093F"/>
    <w:rPr>
      <w:color w:val="808080"/>
    </w:rPr>
  </w:style>
  <w:style w:type="character" w:customStyle="1" w:styleId="Heading2Char">
    <w:name w:val="Heading 2 Char"/>
    <w:basedOn w:val="DefaultParagraphFont"/>
    <w:link w:val="Heading2"/>
    <w:rsid w:val="00851278"/>
    <w:rPr>
      <w:i/>
      <w:iCs/>
    </w:rPr>
  </w:style>
  <w:style w:type="character" w:customStyle="1" w:styleId="body-textChar">
    <w:name w:val="body-text Char"/>
    <w:basedOn w:val="DefaultParagraphFont"/>
    <w:link w:val="body-text"/>
    <w:locked/>
    <w:rsid w:val="00851278"/>
    <w:rPr>
      <w:rFonts w:ascii="Times" w:hAnsi="Times"/>
      <w:color w:val="000000"/>
    </w:rPr>
  </w:style>
  <w:style w:type="character" w:styleId="Strong">
    <w:name w:val="Strong"/>
    <w:basedOn w:val="DefaultParagraphFont"/>
    <w:uiPriority w:val="22"/>
    <w:qFormat/>
    <w:rsid w:val="00CC2DD6"/>
    <w:rPr>
      <w:b/>
      <w:bCs/>
    </w:rPr>
  </w:style>
  <w:style w:type="character" w:customStyle="1" w:styleId="Heading1Char">
    <w:name w:val="Heading 1 Char"/>
    <w:basedOn w:val="DefaultParagraphFont"/>
    <w:link w:val="Heading1"/>
    <w:rsid w:val="00B413E3"/>
    <w:rPr>
      <w:smallCaps/>
      <w:kern w:val="28"/>
    </w:rPr>
  </w:style>
  <w:style w:type="paragraph" w:styleId="NoSpacing">
    <w:name w:val="No Spacing"/>
    <w:uiPriority w:val="1"/>
    <w:qFormat/>
    <w:rsid w:val="003C70DC"/>
    <w:rPr>
      <w:rFonts w:asciiTheme="minorHAnsi" w:eastAsiaTheme="minorHAnsi" w:hAnsiTheme="minorHAnsi" w:cstheme="minorBidi"/>
      <w:sz w:val="22"/>
      <w:szCs w:val="22"/>
    </w:rPr>
  </w:style>
  <w:style w:type="paragraph" w:styleId="ListParagraph">
    <w:name w:val="List Paragraph"/>
    <w:basedOn w:val="Normal"/>
    <w:uiPriority w:val="34"/>
    <w:qFormat/>
    <w:rsid w:val="00F91D88"/>
    <w:pPr>
      <w:ind w:left="720"/>
      <w:contextualSpacing/>
    </w:pPr>
  </w:style>
  <w:style w:type="paragraph" w:styleId="Caption">
    <w:name w:val="caption"/>
    <w:basedOn w:val="Normal"/>
    <w:next w:val="Normal"/>
    <w:unhideWhenUsed/>
    <w:qFormat/>
    <w:rsid w:val="00C17BE4"/>
    <w:pPr>
      <w:spacing w:after="200"/>
    </w:pPr>
    <w:rPr>
      <w:b/>
      <w:bCs/>
      <w:color w:val="4F81BD" w:themeColor="accent1"/>
      <w:sz w:val="18"/>
      <w:szCs w:val="18"/>
    </w:rPr>
  </w:style>
  <w:style w:type="character" w:customStyle="1" w:styleId="FootnoteTextChar">
    <w:name w:val="Footnote Text Char"/>
    <w:basedOn w:val="DefaultParagraphFont"/>
    <w:link w:val="FootnoteText"/>
    <w:semiHidden/>
    <w:rsid w:val="00DE435F"/>
    <w:rPr>
      <w:sz w:val="16"/>
      <w:szCs w:val="16"/>
    </w:rPr>
  </w:style>
  <w:style w:type="character" w:styleId="CommentReference">
    <w:name w:val="annotation reference"/>
    <w:basedOn w:val="DefaultParagraphFont"/>
    <w:rsid w:val="00280049"/>
    <w:rPr>
      <w:sz w:val="18"/>
      <w:szCs w:val="18"/>
    </w:rPr>
  </w:style>
  <w:style w:type="paragraph" w:styleId="CommentText">
    <w:name w:val="annotation text"/>
    <w:basedOn w:val="Normal"/>
    <w:link w:val="CommentTextChar"/>
    <w:rsid w:val="00280049"/>
    <w:rPr>
      <w:sz w:val="24"/>
      <w:szCs w:val="24"/>
    </w:rPr>
  </w:style>
  <w:style w:type="character" w:customStyle="1" w:styleId="CommentTextChar">
    <w:name w:val="Comment Text Char"/>
    <w:basedOn w:val="DefaultParagraphFont"/>
    <w:link w:val="CommentText"/>
    <w:rsid w:val="00280049"/>
    <w:rPr>
      <w:sz w:val="24"/>
      <w:szCs w:val="24"/>
    </w:rPr>
  </w:style>
  <w:style w:type="paragraph" w:styleId="CommentSubject">
    <w:name w:val="annotation subject"/>
    <w:basedOn w:val="CommentText"/>
    <w:next w:val="CommentText"/>
    <w:link w:val="CommentSubjectChar"/>
    <w:rsid w:val="00280049"/>
    <w:rPr>
      <w:b/>
      <w:bCs/>
      <w:sz w:val="20"/>
      <w:szCs w:val="20"/>
    </w:rPr>
  </w:style>
  <w:style w:type="character" w:customStyle="1" w:styleId="CommentSubjectChar">
    <w:name w:val="Comment Subject Char"/>
    <w:basedOn w:val="CommentTextChar"/>
    <w:link w:val="CommentSubject"/>
    <w:rsid w:val="0028004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92429">
      <w:bodyDiv w:val="1"/>
      <w:marLeft w:val="0"/>
      <w:marRight w:val="0"/>
      <w:marTop w:val="0"/>
      <w:marBottom w:val="0"/>
      <w:divBdr>
        <w:top w:val="none" w:sz="0" w:space="0" w:color="auto"/>
        <w:left w:val="none" w:sz="0" w:space="0" w:color="auto"/>
        <w:bottom w:val="none" w:sz="0" w:space="0" w:color="auto"/>
        <w:right w:val="none" w:sz="0" w:space="0" w:color="auto"/>
      </w:divBdr>
    </w:div>
    <w:div w:id="221330708">
      <w:bodyDiv w:val="1"/>
      <w:marLeft w:val="0"/>
      <w:marRight w:val="0"/>
      <w:marTop w:val="0"/>
      <w:marBottom w:val="0"/>
      <w:divBdr>
        <w:top w:val="none" w:sz="0" w:space="0" w:color="auto"/>
        <w:left w:val="none" w:sz="0" w:space="0" w:color="auto"/>
        <w:bottom w:val="none" w:sz="0" w:space="0" w:color="auto"/>
        <w:right w:val="none" w:sz="0" w:space="0" w:color="auto"/>
      </w:divBdr>
    </w:div>
    <w:div w:id="397245533">
      <w:bodyDiv w:val="1"/>
      <w:marLeft w:val="0"/>
      <w:marRight w:val="0"/>
      <w:marTop w:val="0"/>
      <w:marBottom w:val="0"/>
      <w:divBdr>
        <w:top w:val="none" w:sz="0" w:space="0" w:color="auto"/>
        <w:left w:val="none" w:sz="0" w:space="0" w:color="auto"/>
        <w:bottom w:val="none" w:sz="0" w:space="0" w:color="auto"/>
        <w:right w:val="none" w:sz="0" w:space="0" w:color="auto"/>
      </w:divBdr>
    </w:div>
    <w:div w:id="695157854">
      <w:bodyDiv w:val="1"/>
      <w:marLeft w:val="0"/>
      <w:marRight w:val="0"/>
      <w:marTop w:val="0"/>
      <w:marBottom w:val="0"/>
      <w:divBdr>
        <w:top w:val="none" w:sz="0" w:space="0" w:color="auto"/>
        <w:left w:val="none" w:sz="0" w:space="0" w:color="auto"/>
        <w:bottom w:val="none" w:sz="0" w:space="0" w:color="auto"/>
        <w:right w:val="none" w:sz="0" w:space="0" w:color="auto"/>
      </w:divBdr>
    </w:div>
    <w:div w:id="858011571">
      <w:bodyDiv w:val="1"/>
      <w:marLeft w:val="0"/>
      <w:marRight w:val="0"/>
      <w:marTop w:val="0"/>
      <w:marBottom w:val="0"/>
      <w:divBdr>
        <w:top w:val="none" w:sz="0" w:space="0" w:color="auto"/>
        <w:left w:val="none" w:sz="0" w:space="0" w:color="auto"/>
        <w:bottom w:val="none" w:sz="0" w:space="0" w:color="auto"/>
        <w:right w:val="none" w:sz="0" w:space="0" w:color="auto"/>
      </w:divBdr>
    </w:div>
    <w:div w:id="925115222">
      <w:bodyDiv w:val="1"/>
      <w:marLeft w:val="0"/>
      <w:marRight w:val="0"/>
      <w:marTop w:val="0"/>
      <w:marBottom w:val="0"/>
      <w:divBdr>
        <w:top w:val="none" w:sz="0" w:space="0" w:color="auto"/>
        <w:left w:val="none" w:sz="0" w:space="0" w:color="auto"/>
        <w:bottom w:val="none" w:sz="0" w:space="0" w:color="auto"/>
        <w:right w:val="none" w:sz="0" w:space="0" w:color="auto"/>
      </w:divBdr>
    </w:div>
    <w:div w:id="962079821">
      <w:bodyDiv w:val="1"/>
      <w:marLeft w:val="0"/>
      <w:marRight w:val="0"/>
      <w:marTop w:val="0"/>
      <w:marBottom w:val="0"/>
      <w:divBdr>
        <w:top w:val="none" w:sz="0" w:space="0" w:color="auto"/>
        <w:left w:val="none" w:sz="0" w:space="0" w:color="auto"/>
        <w:bottom w:val="none" w:sz="0" w:space="0" w:color="auto"/>
        <w:right w:val="none" w:sz="0" w:space="0" w:color="auto"/>
      </w:divBdr>
    </w:div>
    <w:div w:id="982778279">
      <w:bodyDiv w:val="1"/>
      <w:marLeft w:val="0"/>
      <w:marRight w:val="0"/>
      <w:marTop w:val="0"/>
      <w:marBottom w:val="0"/>
      <w:divBdr>
        <w:top w:val="none" w:sz="0" w:space="0" w:color="auto"/>
        <w:left w:val="none" w:sz="0" w:space="0" w:color="auto"/>
        <w:bottom w:val="none" w:sz="0" w:space="0" w:color="auto"/>
        <w:right w:val="none" w:sz="0" w:space="0" w:color="auto"/>
      </w:divBdr>
    </w:div>
    <w:div w:id="1060058771">
      <w:bodyDiv w:val="1"/>
      <w:marLeft w:val="0"/>
      <w:marRight w:val="0"/>
      <w:marTop w:val="0"/>
      <w:marBottom w:val="0"/>
      <w:divBdr>
        <w:top w:val="none" w:sz="0" w:space="0" w:color="auto"/>
        <w:left w:val="none" w:sz="0" w:space="0" w:color="auto"/>
        <w:bottom w:val="none" w:sz="0" w:space="0" w:color="auto"/>
        <w:right w:val="none" w:sz="0" w:space="0" w:color="auto"/>
      </w:divBdr>
    </w:div>
    <w:div w:id="1087580112">
      <w:bodyDiv w:val="1"/>
      <w:marLeft w:val="0"/>
      <w:marRight w:val="0"/>
      <w:marTop w:val="0"/>
      <w:marBottom w:val="0"/>
      <w:divBdr>
        <w:top w:val="none" w:sz="0" w:space="0" w:color="auto"/>
        <w:left w:val="none" w:sz="0" w:space="0" w:color="auto"/>
        <w:bottom w:val="none" w:sz="0" w:space="0" w:color="auto"/>
        <w:right w:val="none" w:sz="0" w:space="0" w:color="auto"/>
      </w:divBdr>
    </w:div>
    <w:div w:id="1402676463">
      <w:bodyDiv w:val="1"/>
      <w:marLeft w:val="0"/>
      <w:marRight w:val="0"/>
      <w:marTop w:val="0"/>
      <w:marBottom w:val="0"/>
      <w:divBdr>
        <w:top w:val="none" w:sz="0" w:space="0" w:color="auto"/>
        <w:left w:val="none" w:sz="0" w:space="0" w:color="auto"/>
        <w:bottom w:val="none" w:sz="0" w:space="0" w:color="auto"/>
        <w:right w:val="none" w:sz="0" w:space="0" w:color="auto"/>
      </w:divBdr>
    </w:div>
    <w:div w:id="1612469675">
      <w:bodyDiv w:val="1"/>
      <w:marLeft w:val="0"/>
      <w:marRight w:val="0"/>
      <w:marTop w:val="0"/>
      <w:marBottom w:val="0"/>
      <w:divBdr>
        <w:top w:val="none" w:sz="0" w:space="0" w:color="auto"/>
        <w:left w:val="none" w:sz="0" w:space="0" w:color="auto"/>
        <w:bottom w:val="none" w:sz="0" w:space="0" w:color="auto"/>
        <w:right w:val="none" w:sz="0" w:space="0" w:color="auto"/>
      </w:divBdr>
    </w:div>
    <w:div w:id="1704020064">
      <w:bodyDiv w:val="1"/>
      <w:marLeft w:val="0"/>
      <w:marRight w:val="0"/>
      <w:marTop w:val="0"/>
      <w:marBottom w:val="0"/>
      <w:divBdr>
        <w:top w:val="none" w:sz="0" w:space="0" w:color="auto"/>
        <w:left w:val="none" w:sz="0" w:space="0" w:color="auto"/>
        <w:bottom w:val="none" w:sz="0" w:space="0" w:color="auto"/>
        <w:right w:val="none" w:sz="0" w:space="0" w:color="auto"/>
      </w:divBdr>
    </w:div>
    <w:div w:id="1766027348">
      <w:bodyDiv w:val="1"/>
      <w:marLeft w:val="0"/>
      <w:marRight w:val="0"/>
      <w:marTop w:val="0"/>
      <w:marBottom w:val="0"/>
      <w:divBdr>
        <w:top w:val="none" w:sz="0" w:space="0" w:color="auto"/>
        <w:left w:val="none" w:sz="0" w:space="0" w:color="auto"/>
        <w:bottom w:val="none" w:sz="0" w:space="0" w:color="auto"/>
        <w:right w:val="none" w:sz="0" w:space="0" w:color="auto"/>
      </w:divBdr>
    </w:div>
    <w:div w:id="1925262580">
      <w:bodyDiv w:val="1"/>
      <w:marLeft w:val="0"/>
      <w:marRight w:val="0"/>
      <w:marTop w:val="0"/>
      <w:marBottom w:val="0"/>
      <w:divBdr>
        <w:top w:val="none" w:sz="0" w:space="0" w:color="auto"/>
        <w:left w:val="none" w:sz="0" w:space="0" w:color="auto"/>
        <w:bottom w:val="none" w:sz="0" w:space="0" w:color="auto"/>
        <w:right w:val="none" w:sz="0" w:space="0" w:color="auto"/>
      </w:divBdr>
    </w:div>
    <w:div w:id="1946189244">
      <w:bodyDiv w:val="1"/>
      <w:marLeft w:val="0"/>
      <w:marRight w:val="0"/>
      <w:marTop w:val="0"/>
      <w:marBottom w:val="0"/>
      <w:divBdr>
        <w:top w:val="none" w:sz="0" w:space="0" w:color="auto"/>
        <w:left w:val="none" w:sz="0" w:space="0" w:color="auto"/>
        <w:bottom w:val="none" w:sz="0" w:space="0" w:color="auto"/>
        <w:right w:val="none" w:sz="0" w:space="0" w:color="auto"/>
      </w:divBdr>
    </w:div>
    <w:div w:id="2018577878">
      <w:bodyDiv w:val="1"/>
      <w:marLeft w:val="0"/>
      <w:marRight w:val="0"/>
      <w:marTop w:val="0"/>
      <w:marBottom w:val="0"/>
      <w:divBdr>
        <w:top w:val="none" w:sz="0" w:space="0" w:color="auto"/>
        <w:left w:val="none" w:sz="0" w:space="0" w:color="auto"/>
        <w:bottom w:val="none" w:sz="0" w:space="0" w:color="auto"/>
        <w:right w:val="none" w:sz="0" w:space="0" w:color="auto"/>
      </w:divBdr>
    </w:div>
    <w:div w:id="2028561720">
      <w:bodyDiv w:val="1"/>
      <w:marLeft w:val="0"/>
      <w:marRight w:val="0"/>
      <w:marTop w:val="0"/>
      <w:marBottom w:val="0"/>
      <w:divBdr>
        <w:top w:val="none" w:sz="0" w:space="0" w:color="auto"/>
        <w:left w:val="none" w:sz="0" w:space="0" w:color="auto"/>
        <w:bottom w:val="none" w:sz="0" w:space="0" w:color="auto"/>
        <w:right w:val="none" w:sz="0" w:space="0" w:color="auto"/>
      </w:divBdr>
    </w:div>
    <w:div w:id="2057468231">
      <w:bodyDiv w:val="1"/>
      <w:marLeft w:val="0"/>
      <w:marRight w:val="0"/>
      <w:marTop w:val="0"/>
      <w:marBottom w:val="0"/>
      <w:divBdr>
        <w:top w:val="none" w:sz="0" w:space="0" w:color="auto"/>
        <w:left w:val="none" w:sz="0" w:space="0" w:color="auto"/>
        <w:bottom w:val="none" w:sz="0" w:space="0" w:color="auto"/>
        <w:right w:val="none" w:sz="0" w:space="0" w:color="auto"/>
      </w:divBdr>
    </w:div>
    <w:div w:id="206826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emf"/><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hang.SDSMT\Desktop\ieeeletter_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78BBB-17C6-9E49-AB34-B4C61ED02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Settings\nzhang.SDSMT\Desktop\ieeeletter_new.dot</Template>
  <TotalTime>8</TotalTime>
  <Pages>6</Pages>
  <Words>2671</Words>
  <Characters>15228</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17864</CharactersWithSpaces>
  <SharedDoc>false</SharedDoc>
  <HLinks>
    <vt:vector size="66"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3866733</vt:i4>
      </vt:variant>
      <vt:variant>
        <vt:i4>0</vt:i4>
      </vt:variant>
      <vt:variant>
        <vt:i4>0</vt:i4>
      </vt:variant>
      <vt:variant>
        <vt:i4>5</vt:i4>
      </vt:variant>
      <vt:variant>
        <vt:lpwstr>http://www.carqueryapi.com/</vt:lpwstr>
      </vt:variant>
      <vt:variant>
        <vt:lpwstr/>
      </vt:variant>
      <vt:variant>
        <vt:i4>5701748</vt:i4>
      </vt:variant>
      <vt:variant>
        <vt:i4>0</vt:i4>
      </vt:variant>
      <vt:variant>
        <vt:i4>0</vt:i4>
      </vt:variant>
      <vt:variant>
        <vt:i4>5</vt:i4>
      </vt:variant>
      <vt:variant>
        <vt:lpwstr>mailto:ilya%7D@umich.edu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nzhang</dc:creator>
  <cp:lastModifiedBy>Microsoft Office User</cp:lastModifiedBy>
  <cp:revision>5</cp:revision>
  <cp:lastPrinted>2015-05-09T20:50:00Z</cp:lastPrinted>
  <dcterms:created xsi:type="dcterms:W3CDTF">2015-05-09T20:50:00Z</dcterms:created>
  <dcterms:modified xsi:type="dcterms:W3CDTF">2015-09-22T20:06:00Z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