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mtiebq7g1mw" w:id="0"/>
      <w:bookmarkEnd w:id="0"/>
      <w:r w:rsidDel="00000000" w:rsidR="00000000" w:rsidRPr="00000000">
        <w:rPr>
          <w:rtl w:val="0"/>
        </w:rPr>
        <w:t xml:space="preserve">Results V1.0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s2hkq20gry" w:id="1"/>
      <w:bookmarkEnd w:id="1"/>
      <w:r w:rsidDel="00000000" w:rsidR="00000000" w:rsidRPr="00000000">
        <w:rPr>
          <w:rtl w:val="0"/>
        </w:rPr>
        <w:t xml:space="preserve">Orthogroups in order of gene overlap (&gt;2)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OG000529 has 4 overlaps with 1 copy present in all Ac. And represents flgE flagellar hook protein.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OG0000246 and OG0000968 both with 3 overlaps, representing biofilm formation protein PslI and PslD respectively from Pseudomonas aeruginosa. PslI is present in all but Ac. ferrooxidans, with a second copy present in Ac. prosperus. PslD is present only in Ac. ferrooxidans and Ac. yilgarnensis.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OG0000331 and OG0000562, both with 3 overlaps and single copies present in all Ac. species. These orthogroups represent two enzymes part of the de novo purine biosynthesis pathway.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OG0000622, OG0000902, and OG0000905 with 3 overlaps representing the flagellar motor switch, flagella capping protein, and flagellar m-ring protein respectively are also present with single copies in all Ac. species.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OG0000576 with 3 overlaps is also present in all Ac. species. It represents haloacid dehalogenase.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g14vif1g7ap" w:id="2"/>
      <w:bookmarkEnd w:id="2"/>
      <w:r w:rsidDel="00000000" w:rsidR="00000000" w:rsidRPr="00000000">
        <w:rPr>
          <w:rtl w:val="0"/>
        </w:rPr>
        <w:t xml:space="preserve">Interesting by heatmap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nhafriw2cidb" w:id="3"/>
      <w:bookmarkEnd w:id="3"/>
      <w:r w:rsidDel="00000000" w:rsidR="00000000" w:rsidRPr="00000000">
        <w:rPr>
          <w:rtl w:val="0"/>
        </w:rPr>
        <w:t xml:space="preserve">Significant expansion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OG0000015 with no overlap representing NADP(H)-dependent aldo-keto reductase and present in all Ac. species with 4 in Ac. aeolianus, 2 in Ac. ferrooxidans, 6 in Ac. prosperus, and 5 in Ac. yilgarnensis.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OG0000020 with 2 overlaps representing lipopolysaccharide glucosyltransferase I. Present in all Ac. species with 6 in species aeolianus, ferrooxidans, and yilgarnensis and 3 in Ac. prosperus.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OG0000023 with no overlap representing type IV pilus twitching motility protein. Present in all Ac. species with 7 in Ac. species ferrooxidans, prosperus, and yilgarnensis and 3 in aeolianus.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OG0000051 no overlap, represents MotA/TolQ/ExbB proton channel family protein. In all Ac. species, 4 in aeolianus and prosperus, 3 in ferrooxidans and 5 in yilgarnensis.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j6yh6zeqn8u" w:id="4"/>
      <w:bookmarkEnd w:id="4"/>
      <w:r w:rsidDel="00000000" w:rsidR="00000000" w:rsidRPr="00000000">
        <w:rPr>
          <w:rtl w:val="0"/>
        </w:rPr>
        <w:t xml:space="preserve">Moderate expansion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OG0000058 no overlap, represents dihydrolipoyl dehydrogenase. In all Ac. species, 4 in aeolianus and ferrooxidans, 2 in prosperus, 3 in yilgarnensis.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OG0000066 no overlap, represents branched-chain amino acid aminotransferase. In all Ac. species, 3 in aeolianus and prosperus, 4 in ferrooxidans, 2 in yilgarnensis.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OG0000079 no overlap, represents amidase. In all Ac. species, 4 in aeolianus, 3 in ferrooxidans and prosperus, 1 in yilgarnensis.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OG0000187 no overlap, represents UDP-glucose 6-dehydrogenase. In all Ac. species, 3 in aeolianus, prosperus and yilgarnensis, and 1 in ferrooxidans.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OG0000407 no overlaps, represents diacylglycerol kinase. In all Ac. species, 2 in all.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OG0000596 no overlaps, represents mercury(II) reductase. In all Ac. species, 2 in all.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qlhbqhpdyjub" w:id="5"/>
      <w:bookmarkEnd w:id="5"/>
      <w:r w:rsidDel="00000000" w:rsidR="00000000" w:rsidRPr="00000000">
        <w:rPr>
          <w:rtl w:val="0"/>
        </w:rPr>
        <w:t xml:space="preserve">Other potentially interesting things?? (are there other ways of determining interesting things?)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OG0000324 no overlap. TRZ/ATZ family hydrolase. One in all and 4 in ferrooxidans.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OG0000435 1 overlap. glucose-6-phosphate isomerase. One in all, 3 in yilgarnensis.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 - Ac. species completely lack fimbriae according to E_coli orthofinder results. However, they do appear to have orthology with WP_044570658.1 (OG0001130 no overlaps) fimV fimbrial protein in Stenotrophomonas with 1 in all Ac. species.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cmpdx5qni27i" w:id="6"/>
      <w:bookmarkEnd w:id="6"/>
      <w:r w:rsidDel="00000000" w:rsidR="00000000" w:rsidRPr="00000000">
        <w:rPr>
          <w:rtl w:val="0"/>
        </w:rPr>
        <w:t xml:space="preserve">Missing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There are 200 orthogroups with relation to the candidate genes where Acidihalobacter has 0 copies.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5ufn6z3xv73" w:id="7"/>
      <w:bookmarkEnd w:id="7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2v4x7t5n6cpa" w:id="8"/>
      <w:bookmarkEnd w:id="8"/>
      <w:r w:rsidDel="00000000" w:rsidR="00000000" w:rsidRPr="00000000">
        <w:rPr>
          <w:rtl w:val="0"/>
        </w:rPr>
        <w:t xml:space="preserve">Motility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vidsn5yyv3kq" w:id="9"/>
      <w:bookmarkEnd w:id="9"/>
      <w:r w:rsidDel="00000000" w:rsidR="00000000" w:rsidRPr="00000000">
        <w:rPr>
          <w:rtl w:val="0"/>
        </w:rPr>
        <w:t xml:space="preserve">Flagellar motility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OG000529, OG0000622, OG0000902, and OG0000905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https://www.ncbi.nlm.nih.gov/pmc/articles/PMC8940932/</w:t>
        </w:r>
      </w:hyperlink>
      <w:r w:rsidDel="00000000" w:rsidR="00000000" w:rsidRPr="00000000">
        <w:rPr>
          <w:rtl w:val="0"/>
        </w:rPr>
        <w:t xml:space="preserve">) shows that the inactivation of flgE in Pseudomonas aeruginosa results in the promotion of aggregated structures and a decreased expression in biofilm matrix genes. With a lack of flgE, the organism had a reduced ability to adhere to surfaces, although once adhered, demonstrated faster biofilm growth.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flagellar may act as a switch/sensor, indicating to the organism that it has found a surface.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https://pubmed.ncbi.nlm.nih.gov/23927648/</w:t>
        </w:r>
      </w:hyperlink>
      <w:r w:rsidDel="00000000" w:rsidR="00000000" w:rsidRPr="00000000">
        <w:rPr>
          <w:rtl w:val="0"/>
        </w:rPr>
        <w:t xml:space="preserve">) indicates that surface mediated restriction of flagellar rotation may allow the organism to sense/detect the surface, triggering the activation of biofilm related pathways and subsequent restriction of flagellar expression in further proliferation.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644aepy6tjb0" w:id="10"/>
      <w:bookmarkEnd w:id="10"/>
      <w:r w:rsidDel="00000000" w:rsidR="00000000" w:rsidRPr="00000000">
        <w:rPr>
          <w:rtl w:val="0"/>
        </w:rPr>
        <w:t xml:space="preserve">Pili motility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OG0000023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Twitching motility is a flagella independent method of motility on a solid surface and appears to be mostly but not completely restricted to proteobacteria (beta, </w:t>
      </w:r>
      <w:r w:rsidDel="00000000" w:rsidR="00000000" w:rsidRPr="00000000">
        <w:rPr>
          <w:b w:val="1"/>
          <w:u w:val="single"/>
          <w:rtl w:val="0"/>
        </w:rPr>
        <w:t xml:space="preserve">gamma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delta)(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https://doi.org/10.1146/annurev.micro.56.012302.160938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While it is widely accepted that type IV pili mediates adherence, a lack of pili does not necessarily prevent surface adherence, although it does inhibit the formation of a complex/multicell layered biofilm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https://doi.org/10.1046/j.1365-2958.1998.01062.x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2pgwbw9g4d8" w:id="11"/>
      <w:bookmarkEnd w:id="11"/>
      <w:r w:rsidDel="00000000" w:rsidR="00000000" w:rsidRPr="00000000">
        <w:rPr>
          <w:rtl w:val="0"/>
        </w:rPr>
        <w:t xml:space="preserve">Extracellular Polymeric Substances (EPS)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9eh2rhaje09o" w:id="12"/>
      <w:bookmarkEnd w:id="12"/>
      <w:r w:rsidDel="00000000" w:rsidR="00000000" w:rsidRPr="00000000">
        <w:rPr>
          <w:rtl w:val="0"/>
        </w:rPr>
        <w:t xml:space="preserve">Pseudomonas Psl Exopolysaccharide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OG0000246 and OG0000968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Polysaccharide locus (Psl) is one of the three major exopolysaccharides in Pseudomonas biofilm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https://dx.doi.org/10.1016%2Fj.mib.2007.09.010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(the two other pathways for biofilm formation in Pseudo is Pel and alginate, ctrl+F in genes table finds some Pel genes in some Ac. species, but can’t find anything with alginate, worth adding alginate candidate genes to look for?)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Psl is a 15-gene operon that encodes for the Psl exopolysaccharide and is important in the role of adhesion, biofilm maintenance, and cell-cell interaction. </w:t>
      </w:r>
      <w:r w:rsidDel="00000000" w:rsidR="00000000" w:rsidRPr="00000000">
        <w:rPr>
          <w:i w:val="1"/>
          <w:rtl w:val="0"/>
        </w:rPr>
        <w:t xml:space="preserve">“Although Psl was proposed to promote both cell-cell and cell-surface interactions, little is known about how Psl is anchored on the bacterial cell surface and how it might promote these interactions.” </w:t>
      </w: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https://doi.org/10.1128/jb.01202-06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7jc4t892xel" w:id="13"/>
      <w:bookmarkEnd w:id="13"/>
      <w:r w:rsidDel="00000000" w:rsidR="00000000" w:rsidRPr="00000000">
        <w:rPr>
          <w:rtl w:val="0"/>
        </w:rPr>
        <w:t xml:space="preserve">?Metabolic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OG0000331 and OG0000562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 novo purine biosynthesis pathway that has been demonstrate to influence biofilm production.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https://pubmed.ncbi.nlm.nih.gov/26788425/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OG0000576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  <w:t xml:space="preserve">Haloacid dehalogenase - </w:t>
      </w:r>
      <w:r w:rsidDel="00000000" w:rsidR="00000000" w:rsidRPr="00000000">
        <w:rPr>
          <w:i w:val="1"/>
          <w:rtl w:val="0"/>
        </w:rPr>
        <w:t xml:space="preserve">“In plant pathogen bacteria, HADs might also be involved in biofilm formation during biotic interactions”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https://www.ncbi.nlm.nih.gov/pmc/articles/PMC8490876/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OG0000015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NADP(H)-dependent aldo-keto reductase (not really sure what this does, waste/oxidative stress maybe?)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OG0000020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Lipopolysaccharide glucosyltransferase I. Important for attachment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https://pubmed.ncbi.nlm.nih.gov/10398745/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OG0000051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MotA/TolQ/ExbB proton channel family protein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OG0000058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Dihydrolipoyl dehydrogenase.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OG0000066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Branched-chain amino acid aminotransferase.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OG0000079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Amidase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OG0000187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UDP-glucose 6-dehydrogenase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OG0000407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Diacylglycerol kinase, identified as important to the formation of biofilm in Strep (?gram positive)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https://www.ncbi.nlm.nih.gov/pmc/articles/PMC3575517/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OG0000596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Mercury(II) reductase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https://www.ncbi.nlm.nih.gov/pmc/articles/PMC92343/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OG0000324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TRZ/ATZ family hydrolase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OG0000435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Glucose-6-phosphate isomerase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https://journals.asm.org/doi/10.1128/mSphere.01231-20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1128/jb.01202-06" TargetMode="External"/><Relationship Id="rId10" Type="http://schemas.openxmlformats.org/officeDocument/2006/relationships/hyperlink" Target="https://dx.doi.org/10.1016%2Fj.mib.2007.09.010" TargetMode="External"/><Relationship Id="rId13" Type="http://schemas.openxmlformats.org/officeDocument/2006/relationships/hyperlink" Target="https://www.ncbi.nlm.nih.gov/pmc/articles/PMC8490876/" TargetMode="External"/><Relationship Id="rId12" Type="http://schemas.openxmlformats.org/officeDocument/2006/relationships/hyperlink" Target="https://pubmed.ncbi.nlm.nih.gov/2678842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46/j.1365-2958.1998.01062.x" TargetMode="External"/><Relationship Id="rId15" Type="http://schemas.openxmlformats.org/officeDocument/2006/relationships/hyperlink" Target="https://www.ncbi.nlm.nih.gov/pmc/articles/PMC3575517/" TargetMode="External"/><Relationship Id="rId14" Type="http://schemas.openxmlformats.org/officeDocument/2006/relationships/hyperlink" Target="https://pubmed.ncbi.nlm.nih.gov/10398745/" TargetMode="External"/><Relationship Id="rId17" Type="http://schemas.openxmlformats.org/officeDocument/2006/relationships/hyperlink" Target="https://journals.asm.org/doi/10.1128/mSphere.01231-20" TargetMode="External"/><Relationship Id="rId16" Type="http://schemas.openxmlformats.org/officeDocument/2006/relationships/hyperlink" Target="https://www.ncbi.nlm.nih.gov/pmc/articles/PMC9234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8940932/" TargetMode="External"/><Relationship Id="rId7" Type="http://schemas.openxmlformats.org/officeDocument/2006/relationships/hyperlink" Target="https://pubmed.ncbi.nlm.nih.gov/23927648/" TargetMode="External"/><Relationship Id="rId8" Type="http://schemas.openxmlformats.org/officeDocument/2006/relationships/hyperlink" Target="https://doi.org/10.1146/annurev.micro.56.012302.160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