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ab/>
        <w:t>Стержневые элементы являются составляющими многих строительных и инженерных конструкций. Одними их таких элементов могут являются сваи.</w:t>
      </w:r>
    </w:p>
    <w:p w:rsidR="00692872" w:rsidRPr="00736D27" w:rsidRDefault="00692872" w:rsidP="00692872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ab/>
        <w:t>При расчётах стержневых конструкций, которые нередко подвергаются внешнему воздействию, следует уделять внимание определению опасных режимов их эксплуатации таких как резонансные частоты и пиковые амплитуды.</w:t>
      </w:r>
    </w:p>
    <w:p w:rsidR="00692872" w:rsidRPr="00736D27" w:rsidRDefault="00692872" w:rsidP="00692872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ab/>
        <w:t>Работа посвящена исследованию процесса установившихся с заданной частотой колебаний стержневых конструктивных элементов, моделируемых стержнем конечных размеров.</w:t>
      </w:r>
    </w:p>
    <w:p w:rsidR="00692872" w:rsidRPr="00736D27" w:rsidRDefault="00692872" w:rsidP="00692872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5760C6" wp14:editId="0E9EB30D">
            <wp:extent cx="1345965" cy="7524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748" cy="7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Рассматривается задача о 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продольных  и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 поперечно – изгибных колебаниях стержня конечных размеров. Конец стержня контактирует без трения с деформируемым основанием. В качестве последнего рассматривается упругая полоса с защемленной нижней гранью. 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Кроме того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 рассматривается вариант взаимодействия с основанием через абсолютно жесткий штамп. 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Продольные колебания стержня описываются одномерным волновым уравнением (1).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Где 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E</m:t>
            </m:r>
          </m:den>
        </m:f>
      </m:oMath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ρ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0</m:t>
            </m:r>
          </m:sub>
        </m:sSub>
      </m:oMath>
      <w:r w:rsidRPr="00736D27">
        <w:rPr>
          <w:rFonts w:eastAsiaTheme="minorEastAsia"/>
          <w:color w:val="000000" w:themeColor="text1"/>
          <w:kern w:val="24"/>
        </w:rPr>
        <w:t xml:space="preserve">– линейная плотность стержня; 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kern w:val="24"/>
          </w:rPr>
          <m:t>E</m:t>
        </m:r>
      </m:oMath>
      <w:r w:rsidRPr="00736D27">
        <w:rPr>
          <w:rFonts w:eastAsiaTheme="minorEastAsia"/>
          <w:color w:val="000000" w:themeColor="text1"/>
          <w:kern w:val="24"/>
        </w:rPr>
        <w:t>– модуль Юнга;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kern w:val="24"/>
          </w:rPr>
          <m:t>u=u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z,t</m:t>
            </m:r>
          </m:e>
        </m:d>
      </m:oMath>
      <w:r w:rsidRPr="00736D27">
        <w:rPr>
          <w:rFonts w:eastAsiaTheme="minorEastAsia"/>
          <w:color w:val="000000" w:themeColor="text1"/>
          <w:kern w:val="24"/>
        </w:rPr>
        <w:t>– смещение точек стержня;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 </w:t>
      </w:r>
      <w:r w:rsidRPr="00736D27">
        <w:rPr>
          <w:rFonts w:eastAsiaTheme="minorEastAsia"/>
          <w:color w:val="000000" w:themeColor="text1"/>
          <w:kern w:val="24"/>
          <w:lang w:val="en-US"/>
        </w:rPr>
        <w:t>z</w:t>
      </w:r>
      <w:r w:rsidRPr="00736D27">
        <w:rPr>
          <w:rFonts w:eastAsiaTheme="minorEastAsia"/>
          <w:color w:val="000000" w:themeColor="text1"/>
          <w:kern w:val="24"/>
        </w:rPr>
        <w:t xml:space="preserve"> – вертикальная координата;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color w:val="000000" w:themeColor="text1"/>
          <w:kern w:val="24"/>
        </w:rPr>
        <w:t xml:space="preserve"> </w:t>
      </w:r>
      <w:r w:rsidRPr="00736D27">
        <w:rPr>
          <w:rFonts w:eastAsiaTheme="minorEastAsia"/>
          <w:color w:val="000000" w:themeColor="text1"/>
          <w:kern w:val="24"/>
          <w:lang w:val="en-US"/>
        </w:rPr>
        <w:t>t</w:t>
      </w:r>
      <w:r w:rsidRPr="00736D27">
        <w:rPr>
          <w:rFonts w:eastAsiaTheme="minorEastAsia"/>
          <w:color w:val="000000" w:themeColor="text1"/>
          <w:kern w:val="24"/>
        </w:rPr>
        <w:t>– время.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Поперечно – изгибные колебания стержня описываются формулой (2)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Где: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EJ</w:t>
      </w:r>
      <w:r w:rsidRPr="00736D27">
        <w:rPr>
          <w:rFonts w:eastAsiaTheme="minorEastAsia"/>
          <w:color w:val="000000" w:themeColor="text1"/>
          <w:kern w:val="24"/>
        </w:rPr>
        <w:t xml:space="preserve"> – жесткость сечения на изгиб;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proofErr w:type="gramStart"/>
      <w:r w:rsidRPr="00736D27">
        <w:rPr>
          <w:rFonts w:eastAsiaTheme="minorEastAsia"/>
          <w:i/>
          <w:iCs/>
          <w:color w:val="000000" w:themeColor="text1"/>
          <w:kern w:val="24"/>
        </w:rPr>
        <w:t>U</w:t>
      </w:r>
      <w:r w:rsidRPr="00736D27">
        <w:rPr>
          <w:rFonts w:eastAsiaTheme="minorEastAsia"/>
          <w:color w:val="000000" w:themeColor="text1"/>
          <w:kern w:val="24"/>
        </w:rPr>
        <w:t>(</w:t>
      </w:r>
      <w:proofErr w:type="gramEnd"/>
      <w:r w:rsidRPr="00736D27">
        <w:rPr>
          <w:rFonts w:eastAsiaTheme="minorEastAsia"/>
          <w:i/>
          <w:iCs/>
          <w:color w:val="000000" w:themeColor="text1"/>
          <w:kern w:val="24"/>
        </w:rPr>
        <w:t>x, t</w:t>
      </w:r>
      <w:r w:rsidRPr="00736D27">
        <w:rPr>
          <w:rFonts w:eastAsiaTheme="minorEastAsia"/>
          <w:color w:val="000000" w:themeColor="text1"/>
          <w:kern w:val="24"/>
        </w:rPr>
        <w:t>) – отклонение стержня;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proofErr w:type="gramStart"/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P</w:t>
      </w:r>
      <w:r w:rsidRPr="00736D27">
        <w:rPr>
          <w:rFonts w:eastAsiaTheme="minorEastAsia"/>
          <w:color w:val="000000" w:themeColor="text1"/>
          <w:kern w:val="24"/>
        </w:rPr>
        <w:t>(</w:t>
      </w:r>
      <w:proofErr w:type="gramEnd"/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x</w:t>
      </w:r>
      <w:r w:rsidRPr="00736D27">
        <w:rPr>
          <w:rFonts w:eastAsiaTheme="minorEastAsia"/>
          <w:i/>
          <w:iCs/>
          <w:color w:val="000000" w:themeColor="text1"/>
          <w:kern w:val="24"/>
        </w:rPr>
        <w:t xml:space="preserve">, </w:t>
      </w:r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t</w:t>
      </w:r>
      <w:r w:rsidRPr="00736D27">
        <w:rPr>
          <w:rFonts w:eastAsiaTheme="minorEastAsia"/>
          <w:color w:val="000000" w:themeColor="text1"/>
          <w:kern w:val="24"/>
        </w:rPr>
        <w:t>) – заданная поперечная нагрузка;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</w:rPr>
        <w:sym w:font="Symbol" w:char="F072"/>
      </w:r>
      <w:r w:rsidRPr="00736D27">
        <w:rPr>
          <w:rFonts w:eastAsiaTheme="minorEastAsia"/>
          <w:color w:val="000000" w:themeColor="text1"/>
          <w:kern w:val="24"/>
        </w:rPr>
        <w:t xml:space="preserve"> – плотность на единицу сечения;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S</w:t>
      </w:r>
      <w:r w:rsidRPr="00736D27">
        <w:rPr>
          <w:rFonts w:eastAsiaTheme="minorEastAsia"/>
          <w:color w:val="000000" w:themeColor="text1"/>
          <w:kern w:val="24"/>
        </w:rPr>
        <w:t xml:space="preserve"> – площадь сечения;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t</w:t>
      </w:r>
      <w:r w:rsidRPr="00736D27">
        <w:rPr>
          <w:rFonts w:eastAsiaTheme="minorEastAsia"/>
          <w:color w:val="000000" w:themeColor="text1"/>
          <w:kern w:val="24"/>
        </w:rPr>
        <w:t xml:space="preserve"> – время;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  <w:lang w:val="en-US"/>
        </w:rPr>
        <w:t>x</w:t>
      </w:r>
      <w:r w:rsidRPr="00736D27">
        <w:rPr>
          <w:rFonts w:eastAsiaTheme="minorEastAsia"/>
          <w:color w:val="000000" w:themeColor="text1"/>
          <w:kern w:val="24"/>
        </w:rPr>
        <w:t xml:space="preserve"> – координата;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/>
      </w:pPr>
      <w:r w:rsidRPr="00736D27">
        <w:rPr>
          <w:rFonts w:eastAsiaTheme="minorEastAsia"/>
          <w:i/>
          <w:iCs/>
          <w:color w:val="000000" w:themeColor="text1"/>
          <w:kern w:val="24"/>
        </w:rPr>
        <w:sym w:font="Symbol" w:char="F068"/>
      </w:r>
      <w:r w:rsidRPr="00736D27">
        <w:rPr>
          <w:rFonts w:eastAsiaTheme="minorEastAsia"/>
          <w:color w:val="000000" w:themeColor="text1"/>
          <w:kern w:val="24"/>
        </w:rPr>
        <w:t xml:space="preserve"> – упругий коэффициент распределенной опоры.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Смещение точек стержня могут быть найдены из решения начально-граничной задачи.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Решение этих уравнений ищем в виде (3,4).</w:t>
      </w: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99F12" wp14:editId="57D94F9C">
            <wp:extent cx="1788340" cy="1008964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8047" cy="105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В качестве граничных условий для продольных колебаний рассматриваются следующие: жестко закрепленный конец стержня и стержень, контактирующий без трения с полуограниченной средой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lastRenderedPageBreak/>
        <w:tab/>
        <w:t>где: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 w:firstLine="708"/>
      </w:pPr>
      <m:oMath>
        <m:r>
          <w:rPr>
            <w:rFonts w:ascii="Cambria Math" w:eastAsiaTheme="minorEastAsia" w:hAnsi="Cambria Math"/>
            <w:color w:val="000000" w:themeColor="text1"/>
            <w:kern w:val="24"/>
          </w:rPr>
          <m:t>E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∂u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∂z</m:t>
            </m:r>
          </m:den>
        </m:f>
      </m:oMath>
      <w:r w:rsidRPr="00736D27">
        <w:rPr>
          <w:rFonts w:eastAsiaTheme="minorEastAsia"/>
          <w:color w:val="000000" w:themeColor="text1"/>
          <w:kern w:val="24"/>
        </w:rPr>
        <w:t xml:space="preserve"> -реакция стержня</w:t>
      </w:r>
    </w:p>
    <w:p w:rsidR="00E52C7A" w:rsidRPr="00736D27" w:rsidRDefault="00E52C7A" w:rsidP="00E52C7A">
      <w:pPr>
        <w:pStyle w:val="a4"/>
        <w:spacing w:before="0" w:beforeAutospacing="0" w:after="0" w:afterAutospacing="0"/>
        <w:ind w:left="708"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</w:rPr>
              <m:t>0</m:t>
            </m:r>
          </m:sub>
        </m:sSub>
      </m:oMath>
      <w:r w:rsidRPr="00736D27">
        <w:rPr>
          <w:rFonts w:eastAsiaTheme="minorEastAsia"/>
          <w:color w:val="000000" w:themeColor="text1"/>
          <w:kern w:val="24"/>
        </w:rPr>
        <w:t xml:space="preserve"> -реакция среды на единичное воздействие, называемая жесткостью основания.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Для поперечно – изгибных колебаний рассматриваются жестко закрепленный конец стержня и шарнирно – опёртый стержень.</w:t>
      </w:r>
    </w:p>
    <w:p w:rsidR="00467AED" w:rsidRPr="00736D27" w:rsidRDefault="00692872" w:rsidP="00692872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D95FAE" wp14:editId="228E6C18">
            <wp:extent cx="1569855" cy="88989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3044" cy="9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Смещения стержня во времени представлено формулой (5). </w:t>
      </w: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Где u(t) для стержня, контактирующего без трения с полуограниченной средой 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равно(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6), а  для жёстко закреплённого стержня (7). </w:t>
      </w: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При этом смещения точек абсолютно жесткого тела закреплённого на конце стержня не будут зависеть от координаты 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z.(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>6).</w:t>
      </w: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DD6C8E" wp14:editId="623C743B">
            <wp:extent cx="1623237" cy="914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3822" cy="9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свободных  колебаний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 без учета рассеяния энергии (b=0) , уравнение (2) можно записать в виде (8)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gramStart"/>
      <w:r w:rsidRPr="00736D27">
        <w:rPr>
          <w:rFonts w:ascii="Times New Roman" w:hAnsi="Times New Roman" w:cs="Times New Roman"/>
          <w:sz w:val="24"/>
          <w:szCs w:val="24"/>
        </w:rPr>
        <w:t>где ,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 a=корень(EJ/</w:t>
      </w:r>
      <w:proofErr w:type="spellStart"/>
      <w:r w:rsidRPr="00736D2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36D27">
        <w:rPr>
          <w:rFonts w:ascii="Times New Roman" w:hAnsi="Times New Roman" w:cs="Times New Roman"/>
          <w:sz w:val="24"/>
          <w:szCs w:val="24"/>
        </w:rPr>
        <w:t>)       EJ-жёсткость сечения на изгиб.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Для установившегося режима колебаний системы, решение ищем в виде (9)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Тогда решение (8) будем искать в виде (10). Где А это константы, а S это функции Крылова.</w:t>
      </w:r>
    </w:p>
    <w:p w:rsidR="00692872" w:rsidRPr="00736D27" w:rsidRDefault="00692872" w:rsidP="003802E2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DA2CDE" wp14:editId="00D96DDF">
            <wp:extent cx="1488934" cy="82953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0828" cy="8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Функции S1 S2 S3 S4 называются функциями Крылова или балочными функциями. Эти функции обладают интересными особенностями.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S1(</w:t>
      </w:r>
      <w:proofErr w:type="gramStart"/>
      <w:r w:rsidRPr="00736D27">
        <w:rPr>
          <w:rFonts w:ascii="Times New Roman" w:hAnsi="Times New Roman" w:cs="Times New Roman"/>
          <w:sz w:val="24"/>
          <w:szCs w:val="24"/>
        </w:rPr>
        <w:t>0)=</w:t>
      </w:r>
      <w:proofErr w:type="gramEnd"/>
      <w:r w:rsidRPr="00736D27">
        <w:rPr>
          <w:rFonts w:ascii="Times New Roman" w:hAnsi="Times New Roman" w:cs="Times New Roman"/>
          <w:sz w:val="24"/>
          <w:szCs w:val="24"/>
        </w:rPr>
        <w:t xml:space="preserve">1 S2(0)=S3(0)=S4(0)=0 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Также при </w:t>
      </w:r>
      <w:proofErr w:type="spellStart"/>
      <w:r w:rsidRPr="00736D27">
        <w:rPr>
          <w:rFonts w:ascii="Times New Roman" w:hAnsi="Times New Roman" w:cs="Times New Roman"/>
          <w:sz w:val="24"/>
          <w:szCs w:val="24"/>
        </w:rPr>
        <w:t>диффиренцировании</w:t>
      </w:r>
      <w:proofErr w:type="spellEnd"/>
      <w:r w:rsidRPr="00736D27">
        <w:rPr>
          <w:rFonts w:ascii="Times New Roman" w:hAnsi="Times New Roman" w:cs="Times New Roman"/>
          <w:sz w:val="24"/>
          <w:szCs w:val="24"/>
        </w:rPr>
        <w:t xml:space="preserve"> любая балочная функция превращается в другую балочную функцию. Правило </w:t>
      </w:r>
      <w:proofErr w:type="spellStart"/>
      <w:r w:rsidRPr="00736D27">
        <w:rPr>
          <w:rFonts w:ascii="Times New Roman" w:hAnsi="Times New Roman" w:cs="Times New Roman"/>
          <w:sz w:val="24"/>
          <w:szCs w:val="24"/>
        </w:rPr>
        <w:t>дифференицирования</w:t>
      </w:r>
      <w:proofErr w:type="spellEnd"/>
      <w:r w:rsidRPr="00736D27">
        <w:rPr>
          <w:rFonts w:ascii="Times New Roman" w:hAnsi="Times New Roman" w:cs="Times New Roman"/>
          <w:sz w:val="24"/>
          <w:szCs w:val="24"/>
        </w:rPr>
        <w:t xml:space="preserve"> функций можно представить диаграммой, изображённой на рисунке.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4C0460" wp14:editId="7D6E8863">
            <wp:extent cx="1213805" cy="67625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611" cy="7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lastRenderedPageBreak/>
        <w:t>Разрабатываемая программа с графическим интерфейсом предназначена для расчёта опасных режимов эксплуатации стержня с помощью его моделирования и для дальнейшего отображения полученных результатов на экране. Такое моделирование даёт возм</w:t>
      </w:r>
      <w:r w:rsidR="00A51792" w:rsidRPr="00736D27">
        <w:rPr>
          <w:rFonts w:ascii="Times New Roman" w:hAnsi="Times New Roman" w:cs="Times New Roman"/>
          <w:sz w:val="24"/>
          <w:szCs w:val="24"/>
        </w:rPr>
        <w:t xml:space="preserve">ожность оценить характеристики </w:t>
      </w:r>
      <w:r w:rsidRPr="00736D27">
        <w:rPr>
          <w:rFonts w:ascii="Times New Roman" w:hAnsi="Times New Roman" w:cs="Times New Roman"/>
          <w:sz w:val="24"/>
          <w:szCs w:val="24"/>
        </w:rPr>
        <w:t>будущих стержневых элементов конструкции, их прочность и долговечность ещё на этапе их проектирования.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для реализации модели был выбран язык </w:t>
      </w:r>
      <w:proofErr w:type="spellStart"/>
      <w:r w:rsidRPr="00736D2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36D27">
        <w:rPr>
          <w:rFonts w:ascii="Times New Roman" w:hAnsi="Times New Roman" w:cs="Times New Roman"/>
          <w:sz w:val="24"/>
          <w:szCs w:val="24"/>
        </w:rPr>
        <w:t>.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На рисунке 1 представлена блок схема работы программы</w:t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EBF40B" wp14:editId="44BCCCEB">
            <wp:extent cx="1213805" cy="68922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6589" cy="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72" w:rsidRPr="00736D27" w:rsidRDefault="00692872" w:rsidP="0069287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692872" w:rsidRPr="00736D27" w:rsidRDefault="00692872" w:rsidP="00692872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На рисунке 3 представлено стартовое окно.</w:t>
      </w:r>
    </w:p>
    <w:p w:rsidR="00692872" w:rsidRPr="00736D27" w:rsidRDefault="00692872" w:rsidP="004E192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На рисунке 4 окно моделирования продольных колебаний.</w:t>
      </w:r>
    </w:p>
    <w:p w:rsidR="004E192A" w:rsidRPr="00736D27" w:rsidRDefault="004E192A" w:rsidP="004E192A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Рисунок 4 и 5 отображают результат работы</w:t>
      </w:r>
      <w:bookmarkStart w:id="0" w:name="_GoBack"/>
      <w:bookmarkEnd w:id="0"/>
      <w:r w:rsidRPr="00736D27">
        <w:rPr>
          <w:rFonts w:ascii="Times New Roman" w:hAnsi="Times New Roman" w:cs="Times New Roman"/>
          <w:sz w:val="24"/>
          <w:szCs w:val="24"/>
        </w:rPr>
        <w:t xml:space="preserve"> программы.</w:t>
      </w:r>
    </w:p>
    <w:p w:rsidR="004E192A" w:rsidRPr="00736D27" w:rsidRDefault="004E192A" w:rsidP="004E192A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D27">
        <w:rPr>
          <w:rFonts w:ascii="Times New Roman" w:hAnsi="Times New Roman" w:cs="Times New Roman"/>
          <w:sz w:val="24"/>
          <w:szCs w:val="24"/>
        </w:rPr>
        <w:t>Читаю со слайда</w:t>
      </w:r>
    </w:p>
    <w:p w:rsidR="00692872" w:rsidRPr="00736D27" w:rsidRDefault="00692872" w:rsidP="004E192A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692872" w:rsidRPr="00736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E6A65"/>
    <w:multiLevelType w:val="hybridMultilevel"/>
    <w:tmpl w:val="BF967B56"/>
    <w:lvl w:ilvl="0" w:tplc="73F879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9A630A"/>
    <w:multiLevelType w:val="hybridMultilevel"/>
    <w:tmpl w:val="0C2EC3D0"/>
    <w:lvl w:ilvl="0" w:tplc="9012A11A">
      <w:start w:val="2"/>
      <w:numFmt w:val="decimal"/>
      <w:lvlText w:val="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247FF"/>
    <w:multiLevelType w:val="hybridMultilevel"/>
    <w:tmpl w:val="7C1EFE74"/>
    <w:lvl w:ilvl="0" w:tplc="73F879E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C53"/>
    <w:rsid w:val="00050CAE"/>
    <w:rsid w:val="00051BC7"/>
    <w:rsid w:val="003802E2"/>
    <w:rsid w:val="00467AED"/>
    <w:rsid w:val="004E192A"/>
    <w:rsid w:val="00504C53"/>
    <w:rsid w:val="00692872"/>
    <w:rsid w:val="00736D27"/>
    <w:rsid w:val="00774747"/>
    <w:rsid w:val="009816E0"/>
    <w:rsid w:val="00A25DB0"/>
    <w:rsid w:val="00A34327"/>
    <w:rsid w:val="00A51792"/>
    <w:rsid w:val="00E52C7A"/>
    <w:rsid w:val="00EB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A1AD1"/>
  <w15:chartTrackingRefBased/>
  <w15:docId w15:val="{EF42A5D6-4333-40C2-82C3-D47BEB26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87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52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Снетков</dc:creator>
  <cp:keywords/>
  <dc:description/>
  <cp:lastModifiedBy>Дмитрий Снетков</cp:lastModifiedBy>
  <cp:revision>12</cp:revision>
  <dcterms:created xsi:type="dcterms:W3CDTF">2021-06-07T10:23:00Z</dcterms:created>
  <dcterms:modified xsi:type="dcterms:W3CDTF">2021-06-07T10:54:00Z</dcterms:modified>
</cp:coreProperties>
</file>