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(</w:t>
      </w:r>
      <w:r>
        <w:rPr>
          <w:rFonts w:ascii="Arial" w:eastAsia="Arial" w:hAnsi="Arial"/>
          <w:b/>
          <w:color w:val="222222"/>
          <w:sz w:val="24"/>
        </w:rPr>
        <w:t>PO</w:t>
      </w:r>
      <w:r w:rsidRPr="006946EA">
        <w:rPr>
          <w:rFonts w:ascii="Arial" w:eastAsia="Arial" w:hAnsi="Arial"/>
          <w:b/>
          <w:color w:val="222222"/>
          <w:sz w:val="24"/>
          <w:lang w:val="ru-RU"/>
        </w:rPr>
        <w:t xml:space="preserve">) мониторинга процессов данных / </w:t>
      </w:r>
      <w:r>
        <w:rPr>
          <w:rFonts w:ascii="Arial" w:eastAsia="Arial" w:hAnsi="Arial"/>
          <w:b/>
          <w:color w:val="222222"/>
          <w:sz w:val="24"/>
        </w:rPr>
        <w:t>BI</w:t>
      </w:r>
    </w:p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—  Менеджер продукта / </w:t>
      </w: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Owner</w:t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proofErr w:type="gramStart"/>
      <w:r>
        <w:rPr>
          <w:rFonts w:ascii="Arial" w:eastAsia="Arial" w:hAnsi="Arial"/>
          <w:color w:val="222222"/>
          <w:sz w:val="20"/>
        </w:rPr>
        <w:t>ownership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</w:t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  <w:t xml:space="preserve">  Мониторинг процессов  · 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Дашборды  · 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QlikSense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Power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Управленческая отчётность  · 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</w:t>
      </w:r>
      <w:r>
        <w:rPr>
          <w:rFonts w:ascii="Arial" w:eastAsia="Arial" w:hAnsi="Arial"/>
          <w:color w:val="222222"/>
          <w:sz w:val="20"/>
        </w:rPr>
        <w:t>SLA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Бизнес-анализ  · 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BPMN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Постановка требований  ·  Приёмка  · 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Качество данных  · 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Модели ИИ (оценка и прогноз)  ·  Анализ данных  ·  </w:t>
      </w:r>
      <w:r>
        <w:rPr>
          <w:rFonts w:ascii="Arial" w:eastAsia="Arial" w:hAnsi="Arial"/>
          <w:color w:val="222222"/>
          <w:sz w:val="20"/>
        </w:rPr>
        <w:t>MS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Excel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Jira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Confluence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 ·  Проведение презентаций  ·  Работа с большим объёмом информации</w:t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48729778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Дополнительная информация</w:t>
      </w:r>
    </w:p>
    <w:p w14:paraId="6F29A797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Обо мне</w:t>
      </w:r>
    </w:p>
    <w:p w14:paraId="2C0F3342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 xml:space="preserve">Развиваюсь как владелец продукта в зоне </w:t>
      </w:r>
      <w:r>
        <w:rPr>
          <w:rFonts w:ascii="Arial" w:eastAsia="Arial" w:hAnsi="Arial"/>
          <w:color w:val="222222"/>
          <w:sz w:val="21"/>
        </w:rPr>
        <w:t>BI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и мониторинга процессов данных: потребность → метрики и подход → дашборд → обратная связь и следующий инкремент. В </w:t>
      </w:r>
      <w:r>
        <w:rPr>
          <w:rFonts w:ascii="Arial" w:eastAsia="Arial" w:hAnsi="Arial"/>
          <w:color w:val="222222"/>
          <w:sz w:val="21"/>
        </w:rPr>
        <w:t>Axenix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— системы управленческой отчётности и </w:t>
      </w:r>
      <w:r>
        <w:rPr>
          <w:rFonts w:ascii="Arial" w:eastAsia="Arial" w:hAnsi="Arial"/>
          <w:color w:val="222222"/>
          <w:sz w:val="21"/>
        </w:rPr>
        <w:t>BI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; в ПСБ — расширение компетенции на платформу данных: </w:t>
      </w:r>
      <w:r>
        <w:rPr>
          <w:rFonts w:ascii="Arial" w:eastAsia="Arial" w:hAnsi="Arial"/>
          <w:color w:val="222222"/>
          <w:sz w:val="21"/>
        </w:rPr>
        <w:t>DWH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, контуры загрузки, архитектура, ИБ, </w:t>
      </w:r>
      <w:r>
        <w:rPr>
          <w:rFonts w:ascii="Arial" w:eastAsia="Arial" w:hAnsi="Arial"/>
          <w:color w:val="222222"/>
          <w:sz w:val="21"/>
        </w:rPr>
        <w:t>CI</w:t>
      </w:r>
      <w:r w:rsidRPr="006946EA">
        <w:rPr>
          <w:rFonts w:ascii="Arial" w:eastAsia="Arial" w:hAnsi="Arial"/>
          <w:color w:val="222222"/>
          <w:sz w:val="21"/>
          <w:lang w:val="ru-RU"/>
        </w:rPr>
        <w:t>/</w:t>
      </w:r>
      <w:r>
        <w:rPr>
          <w:rFonts w:ascii="Arial" w:eastAsia="Arial" w:hAnsi="Arial"/>
          <w:color w:val="222222"/>
          <w:sz w:val="21"/>
        </w:rPr>
        <w:t>CD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, команда, ресурсы, закупки. Опыт </w:t>
      </w:r>
      <w:r>
        <w:rPr>
          <w:rFonts w:ascii="Arial" w:eastAsia="Arial" w:hAnsi="Arial"/>
          <w:color w:val="222222"/>
          <w:sz w:val="21"/>
        </w:rPr>
        <w:t>CSI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и </w:t>
      </w:r>
      <w:r>
        <w:rPr>
          <w:rFonts w:ascii="Arial" w:eastAsia="Arial" w:hAnsi="Arial"/>
          <w:color w:val="222222"/>
          <w:sz w:val="21"/>
        </w:rPr>
        <w:t>End</w:t>
      </w:r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r>
        <w:rPr>
          <w:rFonts w:ascii="Arial" w:eastAsia="Arial" w:hAnsi="Arial"/>
          <w:color w:val="222222"/>
          <w:sz w:val="21"/>
        </w:rPr>
        <w:t>to</w:t>
      </w:r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r>
        <w:rPr>
          <w:rFonts w:ascii="Arial" w:eastAsia="Arial" w:hAnsi="Arial"/>
          <w:color w:val="222222"/>
          <w:sz w:val="21"/>
        </w:rPr>
        <w:t>End</w:t>
      </w:r>
      <w:r w:rsidRPr="006946EA">
        <w:rPr>
          <w:rFonts w:ascii="Arial" w:eastAsia="Arial" w:hAnsi="Arial"/>
          <w:color w:val="222222"/>
          <w:sz w:val="21"/>
          <w:lang w:val="ru-RU"/>
        </w:rPr>
        <w:t xml:space="preserve"> мониторинга процессов в </w:t>
      </w:r>
      <w:r>
        <w:rPr>
          <w:rFonts w:ascii="Arial" w:eastAsia="Arial" w:hAnsi="Arial"/>
          <w:color w:val="222222"/>
          <w:sz w:val="21"/>
        </w:rPr>
        <w:t>SberData</w:t>
      </w:r>
      <w:r w:rsidRPr="006946EA">
        <w:rPr>
          <w:rFonts w:ascii="Arial" w:eastAsia="Arial" w:hAnsi="Arial"/>
          <w:color w:val="222222"/>
          <w:sz w:val="21"/>
          <w:lang w:val="ru-RU"/>
        </w:rPr>
        <w:t>; системы мониторинга в телекоме.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