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电商业务数据需求与质量监测平台</w:t>
      </w:r>
    </w:p>
    <w:p>
      <w:pPr>
        <w:jc w:val="center"/>
      </w:pPr>
      <w:r>
        <w:t>产品需求文档（PRD）｜Olist 公开电商数据分析项目</w:t>
      </w:r>
    </w:p>
    <w:p/>
    <w:p>
      <w:pPr>
        <w:pStyle w:val="Heading1"/>
      </w:pPr>
      <w:r>
        <w:t>1. 项目概述</w:t>
      </w:r>
    </w:p>
    <w:p>
      <w:r>
        <w:t>本项目基于 Olist 公开电商历史数据，使用 MySQL/DataGrip 完成数据建模与指标核验，并使用 Tableau Desktop 构建履约经营总览与异常诊断看板。项目定位为数据产品经理/数据分析实习作品集，不代表真实企业生产系统。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项目项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968"/>
          </w:tcPr>
          <w:p>
            <w:r>
              <w:t>业务目标</w:t>
            </w:r>
          </w:p>
        </w:tc>
        <w:tc>
          <w:tcPr>
            <w:tcW w:type="dxa" w:w="4968"/>
          </w:tcPr>
          <w:p>
            <w:r>
              <w:t>统一订单履约指标口径，支持趋势监控、区域对比、严重延迟诊断与数据质量追踪</w:t>
            </w:r>
          </w:p>
        </w:tc>
      </w:tr>
      <w:tr>
        <w:tc>
          <w:tcPr>
            <w:tcW w:type="dxa" w:w="4968"/>
          </w:tcPr>
          <w:p>
            <w:r>
              <w:t>目标用户</w:t>
            </w:r>
          </w:p>
        </w:tc>
        <w:tc>
          <w:tcPr>
            <w:tcW w:type="dxa" w:w="4968"/>
          </w:tcPr>
          <w:p>
            <w:r>
              <w:t>履约/运营分析人员、区域运营人员、业务负责人、数据产品人员</w:t>
            </w:r>
          </w:p>
        </w:tc>
      </w:tr>
      <w:tr>
        <w:tc>
          <w:tcPr>
            <w:tcW w:type="dxa" w:w="4968"/>
          </w:tcPr>
          <w:p>
            <w:r>
              <w:t>技术工具</w:t>
            </w:r>
          </w:p>
        </w:tc>
        <w:tc>
          <w:tcPr>
            <w:tcW w:type="dxa" w:w="4968"/>
          </w:tcPr>
          <w:p>
            <w:r>
              <w:t>MySQL、DataGrip、Tableau Desktop</w:t>
            </w:r>
          </w:p>
        </w:tc>
      </w:tr>
      <w:tr>
        <w:tc>
          <w:tcPr>
            <w:tcW w:type="dxa" w:w="4968"/>
          </w:tcPr>
          <w:p>
            <w:r>
              <w:t>分析对象</w:t>
            </w:r>
          </w:p>
        </w:tc>
        <w:tc>
          <w:tcPr>
            <w:tcW w:type="dxa" w:w="4968"/>
          </w:tcPr>
          <w:p>
            <w:r>
              <w:t>订单状态、下单/送达/预计送达时间、客户州、商品金额、运费、支付金额、评价摘要</w:t>
            </w:r>
          </w:p>
        </w:tc>
      </w:tr>
      <w:tr>
        <w:tc>
          <w:tcPr>
            <w:tcW w:type="dxa" w:w="4968"/>
          </w:tcPr>
          <w:p>
            <w:r>
              <w:t>产品边界</w:t>
            </w:r>
          </w:p>
        </w:tc>
        <w:tc>
          <w:tcPr>
            <w:tcW w:type="dxa" w:w="4968"/>
          </w:tcPr>
          <w:p>
            <w:r>
              <w:t>离线数据分析；未实现实时同步、自动告警、生产级权限或因果推断</w:t>
            </w:r>
          </w:p>
        </w:tc>
      </w:tr>
    </w:tbl>
    <w:p/>
    <w:p>
      <w:pPr>
        <w:pStyle w:val="Heading1"/>
      </w:pPr>
      <w:r>
        <w:t>2. 业务问题</w:t>
      </w:r>
    </w:p>
    <w:p>
      <w:pPr>
        <w:pStyle w:val="ListBullet"/>
      </w:pPr>
      <w:r>
        <w:t>原始订单、商品明细、支付记录和评价数据粒度不同，直接关联可能造成金额重复计算。</w:t>
      </w:r>
    </w:p>
    <w:p>
      <w:pPr>
        <w:pStyle w:val="ListBullet"/>
      </w:pPr>
      <w:r>
        <w:t>延迟率、准时率和严重延迟分档需要统一定义，避免不同报表使用不同分母。</w:t>
      </w:r>
    </w:p>
    <w:p>
      <w:pPr>
        <w:pStyle w:val="ListBullet"/>
      </w:pPr>
      <w:r>
        <w:t>仅看整体延迟率无法定位区域差异和严重延迟分布，因此需要趋势、地区和严重程度多个视角。</w:t>
      </w:r>
    </w:p>
    <w:p>
      <w:pPr>
        <w:pStyle w:val="ListBullet"/>
      </w:pPr>
      <w:r>
        <w:t>数据缺失需要被识别和记录，不能不加判断地将 NULL 替换为 0。</w:t>
      </w:r>
    </w:p>
    <w:p>
      <w:pPr>
        <w:pStyle w:val="Heading1"/>
      </w:pPr>
      <w:r>
        <w:t>3. 数据结构与分析链路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数据对象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粒度与用途</w:t>
            </w:r>
          </w:p>
        </w:tc>
      </w:tr>
      <w:tr>
        <w:tc>
          <w:tcPr>
            <w:tcW w:type="dxa" w:w="3312"/>
          </w:tcPr>
          <w:p>
            <w:r>
              <w:t>原始层</w:t>
            </w:r>
          </w:p>
        </w:tc>
        <w:tc>
          <w:tcPr>
            <w:tcW w:type="dxa" w:w="3312"/>
          </w:tcPr>
          <w:p>
            <w:r>
              <w:t>orders、order_items、order_payments、order_reviews、customers</w:t>
            </w:r>
          </w:p>
        </w:tc>
        <w:tc>
          <w:tcPr>
            <w:tcW w:type="dxa" w:w="3312"/>
          </w:tcPr>
          <w:p>
            <w:r>
              <w:t>原始订单、商品项、支付记录、评价和客户信息</w:t>
            </w:r>
          </w:p>
        </w:tc>
      </w:tr>
      <w:tr>
        <w:tc>
          <w:tcPr>
            <w:tcW w:type="dxa" w:w="3312"/>
          </w:tcPr>
          <w:p>
            <w:r>
              <w:t>分析层</w:t>
            </w:r>
          </w:p>
        </w:tc>
        <w:tc>
          <w:tcPr>
            <w:tcW w:type="dxa" w:w="3312"/>
          </w:tcPr>
          <w:p>
            <w:r>
              <w:t>order_analysis_wide</w:t>
            </w:r>
          </w:p>
        </w:tc>
        <w:tc>
          <w:tcPr>
            <w:tcW w:type="dxa" w:w="3312"/>
          </w:tcPr>
          <w:p>
            <w:r>
              <w:t>一行一订单；整合客户、状态、时间、商品/运费/支付汇总与评价摘要</w:t>
            </w:r>
          </w:p>
        </w:tc>
      </w:tr>
      <w:tr>
        <w:tc>
          <w:tcPr>
            <w:tcW w:type="dxa" w:w="3312"/>
          </w:tcPr>
          <w:p>
            <w:r>
              <w:t>汇总层</w:t>
            </w:r>
          </w:p>
        </w:tc>
        <w:tc>
          <w:tcPr>
            <w:tcW w:type="dxa" w:w="3312"/>
          </w:tcPr>
          <w:p>
            <w:r>
              <w:t>monthly_delivery_monitor</w:t>
            </w:r>
          </w:p>
        </w:tc>
        <w:tc>
          <w:tcPr>
            <w:tcW w:type="dxa" w:w="3312"/>
          </w:tcPr>
          <w:p>
            <w:r>
              <w:t>按下单月份 + 州汇总有效送达数、延迟数、延迟率、平均延迟天数</w:t>
            </w:r>
          </w:p>
        </w:tc>
      </w:tr>
      <w:tr>
        <w:tc>
          <w:tcPr>
            <w:tcW w:type="dxa" w:w="3312"/>
          </w:tcPr>
          <w:p>
            <w:r>
              <w:t>汇总层</w:t>
            </w:r>
          </w:p>
        </w:tc>
        <w:tc>
          <w:tcPr>
            <w:tcW w:type="dxa" w:w="3312"/>
          </w:tcPr>
          <w:p>
            <w:r>
              <w:t>monthly_delay_buckets</w:t>
            </w:r>
          </w:p>
        </w:tc>
        <w:tc>
          <w:tcPr>
            <w:tcW w:type="dxa" w:w="3312"/>
          </w:tcPr>
          <w:p>
            <w:r>
              <w:t>按下单月份 + 州汇总延迟天数分档订单数</w:t>
            </w:r>
          </w:p>
        </w:tc>
      </w:tr>
      <w:tr>
        <w:tc>
          <w:tcPr>
            <w:tcW w:type="dxa" w:w="3312"/>
          </w:tcPr>
          <w:p>
            <w:r>
              <w:t>展示层</w:t>
            </w:r>
          </w:p>
        </w:tc>
        <w:tc>
          <w:tcPr>
            <w:tcW w:type="dxa" w:w="3312"/>
          </w:tcPr>
          <w:p>
            <w:r>
              <w:t>Tableau 工作表与仪表板</w:t>
            </w:r>
          </w:p>
        </w:tc>
        <w:tc>
          <w:tcPr>
            <w:tcW w:type="dxa" w:w="3312"/>
          </w:tcPr>
          <w:p>
            <w:r>
              <w:t>履约经营总览、履约异常诊断</w:t>
            </w:r>
          </w:p>
        </w:tc>
      </w:tr>
    </w:tbl>
    <w:p/>
    <w:p>
      <w:pPr>
        <w:pStyle w:val="Heading1"/>
      </w:pPr>
      <w:r>
        <w:t>4. 指标口径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已核验结果</w:t>
            </w:r>
          </w:p>
        </w:tc>
      </w:tr>
      <w:tr>
        <w:tc>
          <w:tcPr>
            <w:tcW w:type="dxa" w:w="3312"/>
          </w:tcPr>
          <w:p>
            <w:r>
              <w:t>有效送达订单数</w:t>
            </w:r>
          </w:p>
        </w:tc>
        <w:tc>
          <w:tcPr>
            <w:tcW w:type="dxa" w:w="3312"/>
          </w:tcPr>
          <w:p>
            <w:r>
              <w:t>delivered 状态；下单、实际送达、预计送达时间非空；州非空；实际送达时间不早于下单时间</w:t>
            </w:r>
          </w:p>
        </w:tc>
        <w:tc>
          <w:tcPr>
            <w:tcW w:type="dxa" w:w="3312"/>
          </w:tcPr>
          <w:p>
            <w:r>
              <w:t>96,470</w:t>
            </w:r>
          </w:p>
        </w:tc>
      </w:tr>
      <w:tr>
        <w:tc>
          <w:tcPr>
            <w:tcW w:type="dxa" w:w="3312"/>
          </w:tcPr>
          <w:p>
            <w:r>
              <w:t>延迟订单数</w:t>
            </w:r>
          </w:p>
        </w:tc>
        <w:tc>
          <w:tcPr>
            <w:tcW w:type="dxa" w:w="3312"/>
          </w:tcPr>
          <w:p>
            <w:r>
              <w:t>实际送达时间晚于预计送达时间的有效送达订单</w:t>
            </w:r>
          </w:p>
        </w:tc>
        <w:tc>
          <w:tcPr>
            <w:tcW w:type="dxa" w:w="3312"/>
          </w:tcPr>
          <w:p>
            <w:r>
              <w:t>7,826</w:t>
            </w:r>
          </w:p>
        </w:tc>
      </w:tr>
      <w:tr>
        <w:tc>
          <w:tcPr>
            <w:tcW w:type="dxa" w:w="3312"/>
          </w:tcPr>
          <w:p>
            <w:r>
              <w:t>延迟率</w:t>
            </w:r>
          </w:p>
        </w:tc>
        <w:tc>
          <w:tcPr>
            <w:tcW w:type="dxa" w:w="3312"/>
          </w:tcPr>
          <w:p>
            <w:r>
              <w:t>延迟订单数 / 有效送达订单数 × 100%</w:t>
            </w:r>
          </w:p>
        </w:tc>
        <w:tc>
          <w:tcPr>
            <w:tcW w:type="dxa" w:w="3312"/>
          </w:tcPr>
          <w:p>
            <w:r>
              <w:t>8.11%</w:t>
            </w:r>
          </w:p>
        </w:tc>
      </w:tr>
      <w:tr>
        <w:tc>
          <w:tcPr>
            <w:tcW w:type="dxa" w:w="3312"/>
          </w:tcPr>
          <w:p>
            <w:r>
              <w:t>准时率</w:t>
            </w:r>
          </w:p>
        </w:tc>
        <w:tc>
          <w:tcPr>
            <w:tcW w:type="dxa" w:w="3312"/>
          </w:tcPr>
          <w:p>
            <w:r>
              <w:t>(有效送达订单数 - 延迟订单数) / 有效送达订单数 × 100%</w:t>
            </w:r>
          </w:p>
        </w:tc>
        <w:tc>
          <w:tcPr>
            <w:tcW w:type="dxa" w:w="3312"/>
          </w:tcPr>
          <w:p>
            <w:r>
              <w:t>91.89%</w:t>
            </w:r>
          </w:p>
        </w:tc>
      </w:tr>
      <w:tr>
        <w:tc>
          <w:tcPr>
            <w:tcW w:type="dxa" w:w="3312"/>
          </w:tcPr>
          <w:p>
            <w:r>
              <w:t>延迟 1–3 天</w:t>
            </w:r>
          </w:p>
        </w:tc>
        <w:tc>
          <w:tcPr>
            <w:tcW w:type="dxa" w:w="3312"/>
          </w:tcPr>
          <w:p>
            <w:r>
              <w:t>延迟天数 &gt; 0 且 &lt;= 3</w:t>
            </w:r>
          </w:p>
        </w:tc>
        <w:tc>
          <w:tcPr>
            <w:tcW w:type="dxa" w:w="3312"/>
          </w:tcPr>
          <w:p>
            <w:r>
              <w:t>2,662</w:t>
            </w:r>
          </w:p>
        </w:tc>
      </w:tr>
      <w:tr>
        <w:tc>
          <w:tcPr>
            <w:tcW w:type="dxa" w:w="3312"/>
          </w:tcPr>
          <w:p>
            <w:r>
              <w:t>延迟 3–7 天</w:t>
            </w:r>
          </w:p>
        </w:tc>
        <w:tc>
          <w:tcPr>
            <w:tcW w:type="dxa" w:w="3312"/>
          </w:tcPr>
          <w:p>
            <w:r>
              <w:t>延迟天数 &gt; 3 且 &lt;= 7</w:t>
            </w:r>
          </w:p>
        </w:tc>
        <w:tc>
          <w:tcPr>
            <w:tcW w:type="dxa" w:w="3312"/>
          </w:tcPr>
          <w:p>
            <w:r>
              <w:t>1,819</w:t>
            </w:r>
          </w:p>
        </w:tc>
      </w:tr>
      <w:tr>
        <w:tc>
          <w:tcPr>
            <w:tcW w:type="dxa" w:w="3312"/>
          </w:tcPr>
          <w:p>
            <w:r>
              <w:t>延迟超过 7 天</w:t>
            </w:r>
          </w:p>
        </w:tc>
        <w:tc>
          <w:tcPr>
            <w:tcW w:type="dxa" w:w="3312"/>
          </w:tcPr>
          <w:p>
            <w:r>
              <w:t>延迟天数 &gt; 7</w:t>
            </w:r>
          </w:p>
        </w:tc>
        <w:tc>
          <w:tcPr>
            <w:tcW w:type="dxa" w:w="3312"/>
          </w:tcPr>
          <w:p>
            <w:r>
              <w:t>3,345</w:t>
            </w:r>
          </w:p>
        </w:tc>
      </w:tr>
    </w:tbl>
    <w:p/>
    <w:p>
      <w:r>
        <w:t>月度指标按下单月份归属。整体比例按订单数汇总后计算，不对州级/月度百分比直接求算术平均。日期差单位与舍入方式应以现有 SQL 实现为准。</w:t>
      </w:r>
    </w:p>
    <w:p>
      <w:pPr>
        <w:pStyle w:val="Heading1"/>
      </w:pPr>
      <w:r>
        <w:t>5. Tableau 看板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图表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回答的问题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解释边界</w:t>
            </w:r>
          </w:p>
        </w:tc>
      </w:tr>
      <w:tr>
        <w:tc>
          <w:tcPr>
            <w:tcW w:type="dxa" w:w="3312"/>
          </w:tcPr>
          <w:p>
            <w:r>
              <w:t>月度订单延迟率趋势</w:t>
            </w:r>
          </w:p>
        </w:tc>
        <w:tc>
          <w:tcPr>
            <w:tcW w:type="dxa" w:w="3312"/>
          </w:tcPr>
          <w:p>
            <w:r>
              <w:t>延迟率随下单月份如何变化？</w:t>
            </w:r>
          </w:p>
        </w:tc>
        <w:tc>
          <w:tcPr>
            <w:tcW w:type="dxa" w:w="3312"/>
          </w:tcPr>
          <w:p>
            <w:r>
              <w:t>描述趋势，不直接说明原因</w:t>
            </w:r>
          </w:p>
        </w:tc>
      </w:tr>
      <w:tr>
        <w:tc>
          <w:tcPr>
            <w:tcW w:type="dxa" w:w="3312"/>
          </w:tcPr>
          <w:p>
            <w:r>
              <w:t>各州整体订单延迟率对比</w:t>
            </w:r>
          </w:p>
        </w:tc>
        <w:tc>
          <w:tcPr>
            <w:tcW w:type="dxa" w:w="3312"/>
          </w:tcPr>
          <w:p>
            <w:r>
              <w:t>州级延迟比例如何不同？</w:t>
            </w:r>
          </w:p>
        </w:tc>
        <w:tc>
          <w:tcPr>
            <w:tcW w:type="dxa" w:w="3312"/>
          </w:tcPr>
          <w:p>
            <w:r>
              <w:t>应结合订单量解释</w:t>
            </w:r>
          </w:p>
        </w:tc>
      </w:tr>
      <w:tr>
        <w:tc>
          <w:tcPr>
            <w:tcW w:type="dxa" w:w="3312"/>
          </w:tcPr>
          <w:p>
            <w:r>
              <w:t>月度延迟订单量变化趋势</w:t>
            </w:r>
          </w:p>
        </w:tc>
        <w:tc>
          <w:tcPr>
            <w:tcW w:type="dxa" w:w="3312"/>
          </w:tcPr>
          <w:p>
            <w:r>
              <w:t>延迟订单规模如何变化？</w:t>
            </w:r>
          </w:p>
        </w:tc>
        <w:tc>
          <w:tcPr>
            <w:tcW w:type="dxa" w:w="3312"/>
          </w:tcPr>
          <w:p>
            <w:r>
              <w:t>订单量不等于延迟率</w:t>
            </w:r>
          </w:p>
        </w:tc>
      </w:tr>
      <w:tr>
        <w:tc>
          <w:tcPr>
            <w:tcW w:type="dxa" w:w="3312"/>
          </w:tcPr>
          <w:p>
            <w:r>
              <w:t>各州严重延迟订单数对比（&gt;7天）</w:t>
            </w:r>
          </w:p>
        </w:tc>
        <w:tc>
          <w:tcPr>
            <w:tcW w:type="dxa" w:w="3312"/>
          </w:tcPr>
          <w:p>
            <w:r>
              <w:t>严重延迟订单在哪些州较多？</w:t>
            </w:r>
          </w:p>
        </w:tc>
        <w:tc>
          <w:tcPr>
            <w:tcW w:type="dxa" w:w="3312"/>
          </w:tcPr>
          <w:p>
            <w:r>
              <w:t>数量受地区订单规模影响</w:t>
            </w:r>
          </w:p>
        </w:tc>
      </w:tr>
      <w:tr>
        <w:tc>
          <w:tcPr>
            <w:tcW w:type="dxa" w:w="3312"/>
          </w:tcPr>
          <w:p>
            <w:r>
              <w:t>各州月度延迟率热力图</w:t>
            </w:r>
          </w:p>
        </w:tc>
        <w:tc>
          <w:tcPr>
            <w:tcW w:type="dxa" w:w="3312"/>
          </w:tcPr>
          <w:p>
            <w:r>
              <w:t>哪些月份-州组合延迟率较高？</w:t>
            </w:r>
          </w:p>
        </w:tc>
        <w:tc>
          <w:tcPr>
            <w:tcW w:type="dxa" w:w="3312"/>
          </w:tcPr>
          <w:p>
            <w:r>
              <w:t>低样本量比例可能波动较大</w:t>
            </w:r>
          </w:p>
        </w:tc>
      </w:tr>
      <w:tr>
        <w:tc>
          <w:tcPr>
            <w:tcW w:type="dxa" w:w="3312"/>
          </w:tcPr>
          <w:p>
            <w:r>
              <w:t>州级履约风险四象限分析</w:t>
            </w:r>
          </w:p>
        </w:tc>
        <w:tc>
          <w:tcPr>
            <w:tcW w:type="dxa" w:w="3312"/>
          </w:tcPr>
          <w:p>
            <w:r>
              <w:t>延迟率与严重延迟规模如何共同分布？</w:t>
            </w:r>
          </w:p>
        </w:tc>
        <w:tc>
          <w:tcPr>
            <w:tcW w:type="dxa" w:w="3312"/>
          </w:tcPr>
          <w:p>
            <w:r>
              <w:t>象限仅用于诊断，阈值需明确</w:t>
            </w:r>
          </w:p>
        </w:tc>
      </w:tr>
      <w:tr>
        <w:tc>
          <w:tcPr>
            <w:tcW w:type="dxa" w:w="3312"/>
          </w:tcPr>
          <w:p>
            <w:r>
              <w:t>各州延迟订单严重程度分布</w:t>
            </w:r>
          </w:p>
        </w:tc>
        <w:tc>
          <w:tcPr>
            <w:tcW w:type="dxa" w:w="3312"/>
          </w:tcPr>
          <w:p>
            <w:r>
              <w:t>各州不同延迟分档数量如何分布？</w:t>
            </w:r>
          </w:p>
        </w:tc>
        <w:tc>
          <w:tcPr>
            <w:tcW w:type="dxa" w:w="3312"/>
          </w:tcPr>
          <w:p>
            <w:r>
              <w:t>分档边界应与 SQL 一致</w:t>
            </w:r>
          </w:p>
        </w:tc>
      </w:tr>
    </w:tbl>
    <w:p/>
    <w:p>
      <w:pPr>
        <w:pStyle w:val="Heading1"/>
      </w:pPr>
      <w:r>
        <w:t>6. 已知数据质量事项</w:t>
      </w:r>
    </w:p>
    <w:p>
      <w:pPr>
        <w:pStyle w:val="ListBullet"/>
      </w:pPr>
      <w:r>
        <w:t>订单级宽表 99,441 行，distinct order_id 为 99,441；订单 ID、customer_id、下单时间无空值。</w:t>
      </w:r>
    </w:p>
    <w:p>
      <w:pPr>
        <w:pStyle w:val="ListBullet"/>
      </w:pPr>
      <w:r>
        <w:t>775 笔订单 item_amount 为 NULL；已确认这些订单在原始 order_items 中无匹配明细，主要对应 unavailable、canceled、created、invoiced、shipped 状态。保留 NULL，不直接补 0。</w:t>
      </w:r>
    </w:p>
    <w:p>
      <w:pPr>
        <w:pStyle w:val="ListBullet"/>
      </w:pPr>
      <w:r>
        <w:t>1 笔 delivered 订单 payment_amount 为 NULL，原始 order_payments 无匹配记录；根因尚未确定，保留 NULL。</w:t>
      </w:r>
    </w:p>
    <w:p>
      <w:pPr>
        <w:pStyle w:val="ListBullet"/>
      </w:pPr>
      <w:r>
        <w:t>原始表与宽表商品金额合计均为 13,591,643.70 BRL，运费均为 2,251,909.54 BRL，支付金额均为 16,008,872.12 BRL。该结论属于汇总级核验，不等于逐订单完全一致。</w:t>
      </w:r>
    </w:p>
    <w:p>
      <w:pPr>
        <w:pStyle w:val="ListBullet"/>
      </w:pPr>
      <w:r>
        <w:t>两张月度汇总表各 556 行、556 个年月-州组合；此前组合键双向差异检查为 0。</w:t>
      </w:r>
    </w:p>
    <w:p>
      <w:pPr>
        <w:pStyle w:val="Heading1"/>
      </w:pPr>
      <w:r>
        <w:t>7. 验收与限制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验收项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3312"/>
          </w:tcPr>
          <w:p>
            <w:r>
              <w:t>订单级唯一性</w:t>
            </w:r>
          </w:p>
        </w:tc>
        <w:tc>
          <w:tcPr>
            <w:tcW w:type="dxa" w:w="3312"/>
          </w:tcPr>
          <w:p>
            <w:r>
              <w:t>99,441 行 / 99,441 个 distinct order_id</w:t>
            </w:r>
          </w:p>
        </w:tc>
        <w:tc>
          <w:tcPr>
            <w:tcW w:type="dxa" w:w="3312"/>
          </w:tcPr>
          <w:p>
            <w:r>
              <w:t>通过</w:t>
            </w:r>
          </w:p>
        </w:tc>
      </w:tr>
      <w:tr>
        <w:tc>
          <w:tcPr>
            <w:tcW w:type="dxa" w:w="3312"/>
          </w:tcPr>
          <w:p>
            <w:r>
              <w:t>整体履约指标</w:t>
            </w:r>
          </w:p>
        </w:tc>
        <w:tc>
          <w:tcPr>
            <w:tcW w:type="dxa" w:w="3312"/>
          </w:tcPr>
          <w:p>
            <w:r>
              <w:t>96,470 有效订单；7,826 延迟；延迟率 8.11%；准时率 91.89%</w:t>
            </w:r>
          </w:p>
        </w:tc>
        <w:tc>
          <w:tcPr>
            <w:tcW w:type="dxa" w:w="3312"/>
          </w:tcPr>
          <w:p>
            <w:r>
              <w:t>通过</w:t>
            </w:r>
          </w:p>
        </w:tc>
      </w:tr>
      <w:tr>
        <w:tc>
          <w:tcPr>
            <w:tcW w:type="dxa" w:w="3312"/>
          </w:tcPr>
          <w:p>
            <w:r>
              <w:t>延迟分档</w:t>
            </w:r>
          </w:p>
        </w:tc>
        <w:tc>
          <w:tcPr>
            <w:tcW w:type="dxa" w:w="3312"/>
          </w:tcPr>
          <w:p>
            <w:r>
              <w:t>2,662 + 1,819 + 3,345 = 7,826；差异 0</w:t>
            </w:r>
          </w:p>
        </w:tc>
        <w:tc>
          <w:tcPr>
            <w:tcW w:type="dxa" w:w="3312"/>
          </w:tcPr>
          <w:p>
            <w:r>
              <w:t>通过</w:t>
            </w:r>
          </w:p>
        </w:tc>
      </w:tr>
      <w:tr>
        <w:tc>
          <w:tcPr>
            <w:tcW w:type="dxa" w:w="3312"/>
          </w:tcPr>
          <w:p>
            <w:r>
              <w:t>金额汇总</w:t>
            </w:r>
          </w:p>
        </w:tc>
        <w:tc>
          <w:tcPr>
            <w:tcW w:type="dxa" w:w="3312"/>
          </w:tcPr>
          <w:p>
            <w:r>
              <w:t>商品、运费、支付金额与原始表汇总一致</w:t>
            </w:r>
          </w:p>
        </w:tc>
        <w:tc>
          <w:tcPr>
            <w:tcW w:type="dxa" w:w="3312"/>
          </w:tcPr>
          <w:p>
            <w:r>
              <w:t>汇总级通过</w:t>
            </w:r>
          </w:p>
        </w:tc>
      </w:tr>
      <w:tr>
        <w:tc>
          <w:tcPr>
            <w:tcW w:type="dxa" w:w="3312"/>
          </w:tcPr>
          <w:p>
            <w:r>
              <w:t>逐年月-州指标复算</w:t>
            </w:r>
          </w:p>
        </w:tc>
        <w:tc>
          <w:tcPr>
            <w:tcW w:type="dxa" w:w="3312"/>
          </w:tcPr>
          <w:p>
            <w:r>
              <w:t>本轮整合未重新执行</w:t>
            </w:r>
          </w:p>
        </w:tc>
        <w:tc>
          <w:tcPr>
            <w:tcW w:type="dxa" w:w="3312"/>
          </w:tcPr>
          <w:p>
            <w:r>
              <w:t>未验证，不标记通过</w:t>
            </w:r>
          </w:p>
        </w:tc>
      </w:tr>
      <w:tr>
        <w:tc>
          <w:tcPr>
            <w:tcW w:type="dxa" w:w="3312"/>
          </w:tcPr>
          <w:p>
            <w:r>
              <w:t>延迟原因因果分析</w:t>
            </w:r>
          </w:p>
        </w:tc>
        <w:tc>
          <w:tcPr>
            <w:tcW w:type="dxa" w:w="3312"/>
          </w:tcPr>
          <w:p>
            <w:r>
              <w:t>当前项目未覆盖</w:t>
            </w:r>
          </w:p>
        </w:tc>
        <w:tc>
          <w:tcPr>
            <w:tcW w:type="dxa" w:w="3312"/>
          </w:tcPr>
          <w:p>
            <w:r>
              <w:t>不在当前范围</w:t>
            </w:r>
          </w:p>
        </w:tc>
      </w:tr>
    </w:tbl>
    <w:p/>
    <w:p>
      <w:pPr>
        <w:pStyle w:val="Heading1"/>
      </w:pPr>
      <w:r>
        <w:t>8. 后续迭代建议</w:t>
      </w:r>
    </w:p>
    <w:p>
      <w:pPr>
        <w:pStyle w:val="ListBullet"/>
      </w:pPr>
      <w:r>
        <w:t>为低样本量州/月组合增加提示，避免误读高比例。</w:t>
      </w:r>
    </w:p>
    <w:p>
      <w:pPr>
        <w:pStyle w:val="ListBullet"/>
      </w:pPr>
      <w:r>
        <w:t>增加指标口径说明与数据更新时间展示。</w:t>
      </w:r>
    </w:p>
    <w:p>
      <w:pPr>
        <w:pStyle w:val="ListBullet"/>
      </w:pPr>
      <w:r>
        <w:t>若开展原因分析，需进一步引入承运商、距离、品类、节假日等变量，并避免直接将相关性解释为因果关系。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