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数据指标口径与 SQL 建模说明</w:t>
      </w:r>
    </w:p>
    <w:p>
      <w:pPr>
        <w:jc w:val="center"/>
      </w:pPr>
      <w:r>
        <w:t>Olist 电商业务数据需求与质量监测平台</w:t>
      </w:r>
    </w:p>
    <w:p/>
    <w:p>
      <w:pPr>
        <w:pStyle w:val="Heading1"/>
      </w:pPr>
      <w:r>
        <w:t>1. 指标字典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定义/公式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粒度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限制</w:t>
            </w:r>
          </w:p>
        </w:tc>
      </w:tr>
      <w:tr>
        <w:tc>
          <w:tcPr>
            <w:tcW w:type="dxa" w:w="2484"/>
          </w:tcPr>
          <w:p>
            <w:r>
              <w:t>有效送达订单数</w:t>
            </w:r>
          </w:p>
        </w:tc>
        <w:tc>
          <w:tcPr>
            <w:tcW w:type="dxa" w:w="2484"/>
          </w:tcPr>
          <w:p>
            <w:r>
              <w:t>delivered；关键时间非空；州非空；实际送达 &gt;= 下单时间</w:t>
            </w:r>
          </w:p>
        </w:tc>
        <w:tc>
          <w:tcPr>
            <w:tcW w:type="dxa" w:w="2484"/>
          </w:tcPr>
          <w:p>
            <w:r>
              <w:t>整体/月份-州</w:t>
            </w:r>
          </w:p>
        </w:tc>
        <w:tc>
          <w:tcPr>
            <w:tcW w:type="dxa" w:w="2484"/>
          </w:tcPr>
          <w:p>
            <w:r>
              <w:t>不是全部订单数</w:t>
            </w:r>
          </w:p>
        </w:tc>
      </w:tr>
      <w:tr>
        <w:tc>
          <w:tcPr>
            <w:tcW w:type="dxa" w:w="2484"/>
          </w:tcPr>
          <w:p>
            <w:r>
              <w:t>延迟订单数</w:t>
            </w:r>
          </w:p>
        </w:tc>
        <w:tc>
          <w:tcPr>
            <w:tcW w:type="dxa" w:w="2484"/>
          </w:tcPr>
          <w:p>
            <w:r>
              <w:t>实际送达时间 &gt; 预计送达时间</w:t>
            </w:r>
          </w:p>
        </w:tc>
        <w:tc>
          <w:tcPr>
            <w:tcW w:type="dxa" w:w="2484"/>
          </w:tcPr>
          <w:p>
            <w:r>
              <w:t>订单/月份-州</w:t>
            </w:r>
          </w:p>
        </w:tc>
        <w:tc>
          <w:tcPr>
            <w:tcW w:type="dxa" w:w="2484"/>
          </w:tcPr>
          <w:p>
            <w:r>
              <w:t>按订单计数，不按商品行计数</w:t>
            </w:r>
          </w:p>
        </w:tc>
      </w:tr>
      <w:tr>
        <w:tc>
          <w:tcPr>
            <w:tcW w:type="dxa" w:w="2484"/>
          </w:tcPr>
          <w:p>
            <w:r>
              <w:t>延迟率</w:t>
            </w:r>
          </w:p>
        </w:tc>
        <w:tc>
          <w:tcPr>
            <w:tcW w:type="dxa" w:w="2484"/>
          </w:tcPr>
          <w:p>
            <w:r>
              <w:t>延迟订单数 / 有效送达订单数 × 100%</w:t>
            </w:r>
          </w:p>
        </w:tc>
        <w:tc>
          <w:tcPr>
            <w:tcW w:type="dxa" w:w="2484"/>
          </w:tcPr>
          <w:p>
            <w:r>
              <w:t>整体/月份-州</w:t>
            </w:r>
          </w:p>
        </w:tc>
        <w:tc>
          <w:tcPr>
            <w:tcW w:type="dxa" w:w="2484"/>
          </w:tcPr>
          <w:p>
            <w:r>
              <w:t>整体按订单数汇总</w:t>
            </w:r>
          </w:p>
        </w:tc>
      </w:tr>
      <w:tr>
        <w:tc>
          <w:tcPr>
            <w:tcW w:type="dxa" w:w="2484"/>
          </w:tcPr>
          <w:p>
            <w:r>
              <w:t>准时率</w:t>
            </w:r>
          </w:p>
        </w:tc>
        <w:tc>
          <w:tcPr>
            <w:tcW w:type="dxa" w:w="2484"/>
          </w:tcPr>
          <w:p>
            <w:r>
              <w:t>(有效送达订单数 - 延迟订单数) / 有效送达订单数 × 100%</w:t>
            </w:r>
          </w:p>
        </w:tc>
        <w:tc>
          <w:tcPr>
            <w:tcW w:type="dxa" w:w="2484"/>
          </w:tcPr>
          <w:p>
            <w:r>
              <w:t>整体/月份-州</w:t>
            </w:r>
          </w:p>
        </w:tc>
        <w:tc>
          <w:tcPr>
            <w:tcW w:type="dxa" w:w="2484"/>
          </w:tcPr>
          <w:p>
            <w:r>
              <w:t>当前口径下与延迟率互补</w:t>
            </w:r>
          </w:p>
        </w:tc>
      </w:tr>
      <w:tr>
        <w:tc>
          <w:tcPr>
            <w:tcW w:type="dxa" w:w="2484"/>
          </w:tcPr>
          <w:p>
            <w:r>
              <w:t>延迟 1–3 天</w:t>
            </w:r>
          </w:p>
        </w:tc>
        <w:tc>
          <w:tcPr>
            <w:tcW w:type="dxa" w:w="2484"/>
          </w:tcPr>
          <w:p>
            <w:r>
              <w:t>delay_days &gt; 0 AND &lt;= 3</w:t>
            </w:r>
          </w:p>
        </w:tc>
        <w:tc>
          <w:tcPr>
            <w:tcW w:type="dxa" w:w="2484"/>
          </w:tcPr>
          <w:p>
            <w:r>
              <w:t>月份-州</w:t>
            </w:r>
          </w:p>
        </w:tc>
        <w:tc>
          <w:tcPr>
            <w:tcW w:type="dxa" w:w="2484"/>
          </w:tcPr>
          <w:p>
            <w:r>
              <w:t>边界需与现有 SQL 一致</w:t>
            </w:r>
          </w:p>
        </w:tc>
      </w:tr>
      <w:tr>
        <w:tc>
          <w:tcPr>
            <w:tcW w:type="dxa" w:w="2484"/>
          </w:tcPr>
          <w:p>
            <w:r>
              <w:t>延迟 3–7 天</w:t>
            </w:r>
          </w:p>
        </w:tc>
        <w:tc>
          <w:tcPr>
            <w:tcW w:type="dxa" w:w="2484"/>
          </w:tcPr>
          <w:p>
            <w:r>
              <w:t>delay_days &gt; 3 AND &lt;= 7</w:t>
            </w:r>
          </w:p>
        </w:tc>
        <w:tc>
          <w:tcPr>
            <w:tcW w:type="dxa" w:w="2484"/>
          </w:tcPr>
          <w:p>
            <w:r>
              <w:t>月份-州</w:t>
            </w:r>
          </w:p>
        </w:tc>
        <w:tc>
          <w:tcPr>
            <w:tcW w:type="dxa" w:w="2484"/>
          </w:tcPr>
          <w:p>
            <w:r>
              <w:t>与上一档互斥</w:t>
            </w:r>
          </w:p>
        </w:tc>
      </w:tr>
      <w:tr>
        <w:tc>
          <w:tcPr>
            <w:tcW w:type="dxa" w:w="2484"/>
          </w:tcPr>
          <w:p>
            <w:r>
              <w:t>延迟超过 7 天</w:t>
            </w:r>
          </w:p>
        </w:tc>
        <w:tc>
          <w:tcPr>
            <w:tcW w:type="dxa" w:w="2484"/>
          </w:tcPr>
          <w:p>
            <w:r>
              <w:t>delay_days &gt; 7</w:t>
            </w:r>
          </w:p>
        </w:tc>
        <w:tc>
          <w:tcPr>
            <w:tcW w:type="dxa" w:w="2484"/>
          </w:tcPr>
          <w:p>
            <w:r>
              <w:t>月份-州</w:t>
            </w:r>
          </w:p>
        </w:tc>
        <w:tc>
          <w:tcPr>
            <w:tcW w:type="dxa" w:w="2484"/>
          </w:tcPr>
          <w:p>
            <w:r>
              <w:t>严重延迟描述指标</w:t>
            </w:r>
          </w:p>
        </w:tc>
      </w:tr>
      <w:tr>
        <w:tc>
          <w:tcPr>
            <w:tcW w:type="dxa" w:w="2484"/>
          </w:tcPr>
          <w:p>
            <w:r>
              <w:t>平均延迟天数</w:t>
            </w:r>
          </w:p>
        </w:tc>
        <w:tc>
          <w:tcPr>
            <w:tcW w:type="dxa" w:w="2484"/>
          </w:tcPr>
          <w:p>
            <w:r>
              <w:t>仅对延迟订单计算平均延迟天数</w:t>
            </w:r>
          </w:p>
        </w:tc>
        <w:tc>
          <w:tcPr>
            <w:tcW w:type="dxa" w:w="2484"/>
          </w:tcPr>
          <w:p>
            <w:r>
              <w:t>月份-州</w:t>
            </w:r>
          </w:p>
        </w:tc>
        <w:tc>
          <w:tcPr>
            <w:tcW w:type="dxa" w:w="2484"/>
          </w:tcPr>
          <w:p>
            <w:r>
              <w:t>日期差单位和舍入方式以实际 SQL 为准</w:t>
            </w:r>
          </w:p>
        </w:tc>
      </w:tr>
    </w:tbl>
    <w:p/>
    <w:p>
      <w:pPr>
        <w:pStyle w:val="Heading1"/>
      </w:pPr>
      <w:r>
        <w:t>2. 建模关键点</w:t>
      </w:r>
    </w:p>
    <w:p>
      <w:pPr>
        <w:pStyle w:val="ListBullet"/>
      </w:pPr>
      <w:r>
        <w:t>商品明细、支付记录和评价记录是不同粒度。应分别按 order_id 聚合后再与订单表关联，避免多对多扩张。</w:t>
      </w:r>
    </w:p>
    <w:p>
      <w:pPr>
        <w:pStyle w:val="ListBullet"/>
      </w:pPr>
      <w:r>
        <w:t>order_analysis_wide 以 order_id 为业务主键；月度表以 order_month + customer_state 为复合键。</w:t>
      </w:r>
    </w:p>
    <w:p>
      <w:pPr>
        <w:pStyle w:val="ListBullet"/>
      </w:pPr>
      <w:r>
        <w:t>当前整体履约复算条件：order_status='delivered'；下单、实际送达、预计送达时间非空；customer_state 非空；实际送达时间 &gt;= 下单时间。</w:t>
      </w:r>
    </w:p>
    <w:p>
      <w:pPr>
        <w:pStyle w:val="ListBullet"/>
      </w:pPr>
      <w:r>
        <w:t>月度趋势按下单月份归属，表示该月下单订单最终履约表现，而不是该月送达订单的表现。</w:t>
      </w:r>
    </w:p>
    <w:p>
      <w:pPr>
        <w:pStyle w:val="Heading1"/>
      </w:pPr>
      <w:r>
        <w:t>3. 核心复算 SQL</w:t>
      </w:r>
    </w:p>
    <w:p>
      <w:r>
        <w:rPr>
          <w:rFonts w:ascii="Consolas" w:hAnsi="Consolas"/>
          <w:sz w:val="16"/>
        </w:rPr>
        <w:t>SELECT</w:t>
        <w:br/>
        <w:t xml:space="preserve">    COUNT(*) AS eligible_delivered_orders,</w:t>
        <w:br/>
        <w:t xml:space="preserve">    SUM(CASE WHEN order_delivered_customer_date &gt; order_estimated_delivery_date</w:t>
        <w:br/>
        <w:t xml:space="preserve">             THEN 1 ELSE 0 END) AS late_orders,</w:t>
        <w:br/>
        <w:t xml:space="preserve">    ROUND(</w:t>
        <w:br/>
        <w:t xml:space="preserve">        SUM(CASE WHEN order_delivered_customer_date &gt; order_estimated_delivery_date</w:t>
        <w:br/>
        <w:t xml:space="preserve">                 THEN 1 ELSE 0 END) * 100.0 / NULLIF(COUNT(*), 0), 2</w:t>
        <w:br/>
        <w:t xml:space="preserve">    ) AS late_rate_pct</w:t>
        <w:br/>
        <w:t>FROM order_analysis_wide</w:t>
        <w:br/>
        <w:t>WHERE order_status = 'delivered'</w:t>
        <w:br/>
        <w:t xml:space="preserve">  AND order_purchase_timestamp IS NOT NULL</w:t>
        <w:br/>
        <w:t xml:space="preserve">  AND order_delivered_customer_date IS NOT NULL</w:t>
        <w:br/>
        <w:t xml:space="preserve">  AND order_estimated_delivery_date IS NOT NULL</w:t>
        <w:br/>
        <w:t xml:space="preserve">  AND customer_state IS NOT NULL</w:t>
        <w:br/>
        <w:t xml:space="preserve">  AND order_delivered_customer_date &gt;= order_purchase_timestamp;</w:t>
      </w:r>
    </w:p>
    <w:p>
      <w:pPr>
        <w:pStyle w:val="Heading1"/>
      </w:pPr>
      <w:r>
        <w:t>4. 已核验数值与范围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核验范围</w:t>
            </w:r>
          </w:p>
        </w:tc>
      </w:tr>
      <w:tr>
        <w:tc>
          <w:tcPr>
            <w:tcW w:type="dxa" w:w="3312"/>
          </w:tcPr>
          <w:p>
            <w:r>
              <w:t>订单级宽表</w:t>
            </w:r>
          </w:p>
        </w:tc>
        <w:tc>
          <w:tcPr>
            <w:tcW w:type="dxa" w:w="3312"/>
          </w:tcPr>
          <w:p>
            <w:r>
              <w:t>99,441 行 / 99,441 distinct order_id</w:t>
            </w:r>
          </w:p>
        </w:tc>
        <w:tc>
          <w:tcPr>
            <w:tcW w:type="dxa" w:w="3312"/>
          </w:tcPr>
          <w:p>
            <w:r>
              <w:t>唯一性</w:t>
            </w:r>
          </w:p>
        </w:tc>
      </w:tr>
      <w:tr>
        <w:tc>
          <w:tcPr>
            <w:tcW w:type="dxa" w:w="3312"/>
          </w:tcPr>
          <w:p>
            <w:r>
              <w:t>有效送达订单</w:t>
            </w:r>
          </w:p>
        </w:tc>
        <w:tc>
          <w:tcPr>
            <w:tcW w:type="dxa" w:w="3312"/>
          </w:tcPr>
          <w:p>
            <w:r>
              <w:t>96,470</w:t>
            </w:r>
          </w:p>
        </w:tc>
        <w:tc>
          <w:tcPr>
            <w:tcW w:type="dxa" w:w="3312"/>
          </w:tcPr>
          <w:p>
            <w:r>
              <w:t>当前履约筛选条件</w:t>
            </w:r>
          </w:p>
        </w:tc>
      </w:tr>
      <w:tr>
        <w:tc>
          <w:tcPr>
            <w:tcW w:type="dxa" w:w="3312"/>
          </w:tcPr>
          <w:p>
            <w:r>
              <w:t>延迟订单</w:t>
            </w:r>
          </w:p>
        </w:tc>
        <w:tc>
          <w:tcPr>
            <w:tcW w:type="dxa" w:w="3312"/>
          </w:tcPr>
          <w:p>
            <w:r>
              <w:t>7,826</w:t>
            </w:r>
          </w:p>
        </w:tc>
        <w:tc>
          <w:tcPr>
            <w:tcW w:type="dxa" w:w="3312"/>
          </w:tcPr>
          <w:p>
            <w:r>
              <w:t>当前履约筛选条件</w:t>
            </w:r>
          </w:p>
        </w:tc>
      </w:tr>
      <w:tr>
        <w:tc>
          <w:tcPr>
            <w:tcW w:type="dxa" w:w="3312"/>
          </w:tcPr>
          <w:p>
            <w:r>
              <w:t>延迟率 / 准时率</w:t>
            </w:r>
          </w:p>
        </w:tc>
        <w:tc>
          <w:tcPr>
            <w:tcW w:type="dxa" w:w="3312"/>
          </w:tcPr>
          <w:p>
            <w:r>
              <w:t>8.11% / 91.89%</w:t>
            </w:r>
          </w:p>
        </w:tc>
        <w:tc>
          <w:tcPr>
            <w:tcW w:type="dxa" w:w="3312"/>
          </w:tcPr>
          <w:p>
            <w:r>
              <w:t>整体口径</w:t>
            </w:r>
          </w:p>
        </w:tc>
      </w:tr>
      <w:tr>
        <w:tc>
          <w:tcPr>
            <w:tcW w:type="dxa" w:w="3312"/>
          </w:tcPr>
          <w:p>
            <w:r>
              <w:t>商品金额</w:t>
            </w:r>
          </w:p>
        </w:tc>
        <w:tc>
          <w:tcPr>
            <w:tcW w:type="dxa" w:w="3312"/>
          </w:tcPr>
          <w:p>
            <w:r>
              <w:t>13,591,643.70 BRL</w:t>
            </w:r>
          </w:p>
        </w:tc>
        <w:tc>
          <w:tcPr>
            <w:tcW w:type="dxa" w:w="3312"/>
          </w:tcPr>
          <w:p>
            <w:r>
              <w:t>汇总级一致</w:t>
            </w:r>
          </w:p>
        </w:tc>
      </w:tr>
      <w:tr>
        <w:tc>
          <w:tcPr>
            <w:tcW w:type="dxa" w:w="3312"/>
          </w:tcPr>
          <w:p>
            <w:r>
              <w:t>运费</w:t>
            </w:r>
          </w:p>
        </w:tc>
        <w:tc>
          <w:tcPr>
            <w:tcW w:type="dxa" w:w="3312"/>
          </w:tcPr>
          <w:p>
            <w:r>
              <w:t>2,251,909.54 BRL</w:t>
            </w:r>
          </w:p>
        </w:tc>
        <w:tc>
          <w:tcPr>
            <w:tcW w:type="dxa" w:w="3312"/>
          </w:tcPr>
          <w:p>
            <w:r>
              <w:t>汇总级一致</w:t>
            </w:r>
          </w:p>
        </w:tc>
      </w:tr>
      <w:tr>
        <w:tc>
          <w:tcPr>
            <w:tcW w:type="dxa" w:w="3312"/>
          </w:tcPr>
          <w:p>
            <w:r>
              <w:t>支付金额</w:t>
            </w:r>
          </w:p>
        </w:tc>
        <w:tc>
          <w:tcPr>
            <w:tcW w:type="dxa" w:w="3312"/>
          </w:tcPr>
          <w:p>
            <w:r>
              <w:t>16,008,872.12 BRL</w:t>
            </w:r>
          </w:p>
        </w:tc>
        <w:tc>
          <w:tcPr>
            <w:tcW w:type="dxa" w:w="3312"/>
          </w:tcPr>
          <w:p>
            <w:r>
              <w:t>汇总级一致</w:t>
            </w:r>
          </w:p>
        </w:tc>
      </w:tr>
      <w:tr>
        <w:tc>
          <w:tcPr>
            <w:tcW w:type="dxa" w:w="3312"/>
          </w:tcPr>
          <w:p>
            <w:r>
              <w:t>延迟分档</w:t>
            </w:r>
          </w:p>
        </w:tc>
        <w:tc>
          <w:tcPr>
            <w:tcW w:type="dxa" w:w="3312"/>
          </w:tcPr>
          <w:p>
            <w:r>
              <w:t>2,662 / 1,819 / 3,345</w:t>
            </w:r>
          </w:p>
        </w:tc>
        <w:tc>
          <w:tcPr>
            <w:tcW w:type="dxa" w:w="3312"/>
          </w:tcPr>
          <w:p>
            <w:r>
              <w:t>合计差异为 0</w:t>
            </w:r>
          </w:p>
        </w:tc>
      </w:tr>
    </w:tbl>
    <w:p/>
    <w:p>
      <w:r>
        <w:t>本文件不宣称已完成所有逐订单金额核对、逐年月-州独立复算或延迟原因因果分析。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