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Tableau 看板说明与项目复盘</w:t>
      </w:r>
    </w:p>
    <w:p>
      <w:pPr>
        <w:jc w:val="center"/>
      </w:pPr>
      <w:r>
        <w:t>Olist 电商业务数据需求与质量监测平台</w:t>
      </w:r>
    </w:p>
    <w:p/>
    <w:p>
      <w:pPr>
        <w:pStyle w:val="Heading1"/>
      </w:pPr>
      <w:r>
        <w:t>1. 看板定位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看板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问题</w:t>
            </w:r>
          </w:p>
        </w:tc>
      </w:tr>
      <w:tr>
        <w:tc>
          <w:tcPr>
            <w:tcW w:type="dxa" w:w="3312"/>
          </w:tcPr>
          <w:p>
            <w:r>
              <w:t>履约经营总览</w:t>
            </w:r>
          </w:p>
        </w:tc>
        <w:tc>
          <w:tcPr>
            <w:tcW w:type="dxa" w:w="3312"/>
          </w:tcPr>
          <w:p>
            <w:r>
              <w:t>宏观监控</w:t>
            </w:r>
          </w:p>
        </w:tc>
        <w:tc>
          <w:tcPr>
            <w:tcW w:type="dxa" w:w="3312"/>
          </w:tcPr>
          <w:p>
            <w:r>
              <w:t>延迟率如何变化、地区差异如何、延迟订单量是否变化</w:t>
            </w:r>
          </w:p>
        </w:tc>
      </w:tr>
      <w:tr>
        <w:tc>
          <w:tcPr>
            <w:tcW w:type="dxa" w:w="3312"/>
          </w:tcPr>
          <w:p>
            <w:r>
              <w:t>履约异常诊断</w:t>
            </w:r>
          </w:p>
        </w:tc>
        <w:tc>
          <w:tcPr>
            <w:tcW w:type="dxa" w:w="3312"/>
          </w:tcPr>
          <w:p>
            <w:r>
              <w:t>深入定位</w:t>
            </w:r>
          </w:p>
        </w:tc>
        <w:tc>
          <w:tcPr>
            <w:tcW w:type="dxa" w:w="3312"/>
          </w:tcPr>
          <w:p>
            <w:r>
              <w:t>严重延迟在哪些州、哪些月份-州组合异常、延迟程度如何分布</w:t>
            </w:r>
          </w:p>
        </w:tc>
      </w:tr>
    </w:tbl>
    <w:p/>
    <w:p>
      <w:pPr>
        <w:pStyle w:val="Heading1"/>
      </w:pPr>
      <w:r>
        <w:t>2. 工作表用途与解释边界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工作表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边界</w:t>
            </w:r>
          </w:p>
        </w:tc>
      </w:tr>
      <w:tr>
        <w:tc>
          <w:tcPr>
            <w:tcW w:type="dxa" w:w="3312"/>
          </w:tcPr>
          <w:p>
            <w:r>
              <w:t>月度订单延迟率趋势</w:t>
            </w:r>
          </w:p>
        </w:tc>
        <w:tc>
          <w:tcPr>
            <w:tcW w:type="dxa" w:w="3312"/>
          </w:tcPr>
          <w:p>
            <w:r>
              <w:t>观察不同下单月份订单的最终延迟率变化</w:t>
            </w:r>
          </w:p>
        </w:tc>
        <w:tc>
          <w:tcPr>
            <w:tcW w:type="dxa" w:w="3312"/>
          </w:tcPr>
          <w:p>
            <w:r>
              <w:t>不代表该月送达订单延迟率</w:t>
            </w:r>
          </w:p>
        </w:tc>
      </w:tr>
      <w:tr>
        <w:tc>
          <w:tcPr>
            <w:tcW w:type="dxa" w:w="3312"/>
          </w:tcPr>
          <w:p>
            <w:r>
              <w:t>各州整体订单延迟率对比</w:t>
            </w:r>
          </w:p>
        </w:tc>
        <w:tc>
          <w:tcPr>
            <w:tcW w:type="dxa" w:w="3312"/>
          </w:tcPr>
          <w:p>
            <w:r>
              <w:t>比较州级延迟比例</w:t>
            </w:r>
          </w:p>
        </w:tc>
        <w:tc>
          <w:tcPr>
            <w:tcW w:type="dxa" w:w="3312"/>
          </w:tcPr>
          <w:p>
            <w:r>
              <w:t>结合订单量解读</w:t>
            </w:r>
          </w:p>
        </w:tc>
      </w:tr>
      <w:tr>
        <w:tc>
          <w:tcPr>
            <w:tcW w:type="dxa" w:w="3312"/>
          </w:tcPr>
          <w:p>
            <w:r>
              <w:t>月度延迟订单量变化趋势</w:t>
            </w:r>
          </w:p>
        </w:tc>
        <w:tc>
          <w:tcPr>
            <w:tcW w:type="dxa" w:w="3312"/>
          </w:tcPr>
          <w:p>
            <w:r>
              <w:t>观察延迟订单规模的时间变化</w:t>
            </w:r>
          </w:p>
        </w:tc>
        <w:tc>
          <w:tcPr>
            <w:tcW w:type="dxa" w:w="3312"/>
          </w:tcPr>
          <w:p>
            <w:r>
              <w:t>规模不等于风险比例</w:t>
            </w:r>
          </w:p>
        </w:tc>
      </w:tr>
      <w:tr>
        <w:tc>
          <w:tcPr>
            <w:tcW w:type="dxa" w:w="3312"/>
          </w:tcPr>
          <w:p>
            <w:r>
              <w:t>各州严重延迟订单数对比（延迟超过7天）</w:t>
            </w:r>
          </w:p>
        </w:tc>
        <w:tc>
          <w:tcPr>
            <w:tcW w:type="dxa" w:w="3312"/>
          </w:tcPr>
          <w:p>
            <w:r>
              <w:t>观察严重延迟订单区域分布</w:t>
            </w:r>
          </w:p>
        </w:tc>
        <w:tc>
          <w:tcPr>
            <w:tcW w:type="dxa" w:w="3312"/>
          </w:tcPr>
          <w:p>
            <w:r>
              <w:t>受总体订单规模影响</w:t>
            </w:r>
          </w:p>
        </w:tc>
      </w:tr>
      <w:tr>
        <w:tc>
          <w:tcPr>
            <w:tcW w:type="dxa" w:w="3312"/>
          </w:tcPr>
          <w:p>
            <w:r>
              <w:t>各州月度延迟率热力图</w:t>
            </w:r>
          </w:p>
        </w:tc>
        <w:tc>
          <w:tcPr>
            <w:tcW w:type="dxa" w:w="3312"/>
          </w:tcPr>
          <w:p>
            <w:r>
              <w:t>识别高延迟率月份-州组合</w:t>
            </w:r>
          </w:p>
        </w:tc>
        <w:tc>
          <w:tcPr>
            <w:tcW w:type="dxa" w:w="3312"/>
          </w:tcPr>
          <w:p>
            <w:r>
              <w:t>小样本组合可能波动较大</w:t>
            </w:r>
          </w:p>
        </w:tc>
      </w:tr>
      <w:tr>
        <w:tc>
          <w:tcPr>
            <w:tcW w:type="dxa" w:w="3312"/>
          </w:tcPr>
          <w:p>
            <w:r>
              <w:t>州级履约风险四象限分析</w:t>
            </w:r>
          </w:p>
        </w:tc>
        <w:tc>
          <w:tcPr>
            <w:tcW w:type="dxa" w:w="3312"/>
          </w:tcPr>
          <w:p>
            <w:r>
              <w:t>同时观察延迟率与严重延迟规模</w:t>
            </w:r>
          </w:p>
        </w:tc>
        <w:tc>
          <w:tcPr>
            <w:tcW w:type="dxa" w:w="3312"/>
          </w:tcPr>
          <w:p>
            <w:r>
              <w:t>象限为诊断辅助，不是业务评级</w:t>
            </w:r>
          </w:p>
        </w:tc>
      </w:tr>
      <w:tr>
        <w:tc>
          <w:tcPr>
            <w:tcW w:type="dxa" w:w="3312"/>
          </w:tcPr>
          <w:p>
            <w:r>
              <w:t>各州延迟订单严重程度分布（订单数）</w:t>
            </w:r>
          </w:p>
        </w:tc>
        <w:tc>
          <w:tcPr>
            <w:tcW w:type="dxa" w:w="3312"/>
          </w:tcPr>
          <w:p>
            <w:r>
              <w:t>比较不同延迟分档数量</w:t>
            </w:r>
          </w:p>
        </w:tc>
        <w:tc>
          <w:tcPr>
            <w:tcW w:type="dxa" w:w="3312"/>
          </w:tcPr>
          <w:p>
            <w:r>
              <w:t>确保分档口径一致</w:t>
            </w:r>
          </w:p>
        </w:tc>
      </w:tr>
    </w:tbl>
    <w:p/>
    <w:p>
      <w:pPr>
        <w:pStyle w:val="Heading1"/>
      </w:pPr>
      <w:r>
        <w:t>3. 项目复盘</w:t>
      </w:r>
    </w:p>
    <w:p>
      <w:pPr>
        <w:pStyle w:val="ListBullet"/>
      </w:pPr>
      <w:r>
        <w:t>从业务问题出发，将履约分析拆成整体趋势、区域差异、严重程度三个层次。</w:t>
      </w:r>
    </w:p>
    <w:p>
      <w:pPr>
        <w:pStyle w:val="ListBullet"/>
      </w:pPr>
      <w:r>
        <w:t>识别多张原始表的粒度差异，先按订单聚合明细再构建订单级宽表。</w:t>
      </w:r>
    </w:p>
    <w:p>
      <w:pPr>
        <w:pStyle w:val="ListBullet"/>
      </w:pPr>
      <w:r>
        <w:t>建立月份-州级履约监控与延迟分档数据集，统一延迟率和准时率口径。</w:t>
      </w:r>
    </w:p>
    <w:p>
      <w:pPr>
        <w:pStyle w:val="ListBullet"/>
      </w:pPr>
      <w:r>
        <w:t>开展数据质量检查，识别商品金额缺失与单笔支付缺失，避免简单填零。</w:t>
      </w:r>
    </w:p>
    <w:p>
      <w:pPr>
        <w:pStyle w:val="ListBullet"/>
      </w:pPr>
      <w:r>
        <w:t>用 Tableau 形成经营总览与异常诊断两个分析视角，并沉淀 PRD、字段字典和验收标准。</w:t>
      </w:r>
    </w:p>
    <w:p>
      <w:pPr>
        <w:pStyle w:val="Heading1"/>
      </w:pPr>
      <w:r>
        <w:t>4. 项目局限</w:t>
      </w:r>
    </w:p>
    <w:p>
      <w:pPr>
        <w:pStyle w:val="ListBullet"/>
      </w:pPr>
      <w:r>
        <w:t>数据为公开历史数据，不代表实时经营情况。</w:t>
      </w:r>
    </w:p>
    <w:p>
      <w:pPr>
        <w:pStyle w:val="ListBullet"/>
      </w:pPr>
      <w:r>
        <w:t>分析是描述性的，不足以证明延迟原因或因果关系。</w:t>
      </w:r>
    </w:p>
    <w:p>
      <w:pPr>
        <w:pStyle w:val="ListBullet"/>
      </w:pPr>
      <w:r>
        <w:t>区域差异可能受到订单规模、距离、商品品类、承运商和季节因素影响。</w:t>
      </w:r>
    </w:p>
    <w:p>
      <w:pPr>
        <w:pStyle w:val="ListBullet"/>
      </w:pPr>
      <w:r>
        <w:t>当前为手动 SQL 与 Tableau 刷新流程，未实现自动告警或生产级数据管道。</w:t>
      </w:r>
    </w:p>
    <w:p>
      <w:pPr>
        <w:pStyle w:val="Heading1"/>
      </w:pPr>
      <w:r>
        <w:t>5. 简历项目经历建议稿</w:t>
      </w:r>
    </w:p>
    <w:p>
      <w:r>
        <w:t>电商业务数据需求与质量监测平台｜个人项目</w:t>
      </w:r>
    </w:p>
    <w:p>
      <w:pPr>
        <w:pStyle w:val="ListBullet"/>
      </w:pPr>
      <w:r>
        <w:t>基于 Olist 公开电商数据，使用 MySQL 构建订单级分析宽表及月度-州级履约监控、延迟分档汇总表，处理多粒度关联与金额重复计算风险。</w:t>
      </w:r>
    </w:p>
    <w:p>
      <w:pPr>
        <w:pStyle w:val="ListBullet"/>
      </w:pPr>
      <w:r>
        <w:t>定义有效送达订单、延迟订单、延迟率、准时率及延迟分档口径，完成订单唯一性、关键字段空值、金额汇总与分档完整性检查。</w:t>
      </w:r>
    </w:p>
    <w:p>
      <w:pPr>
        <w:pStyle w:val="ListBullet"/>
      </w:pPr>
      <w:r>
        <w:t>使用 Tableau 构建履约经营总览与异常诊断看板，覆盖月度趋势、州级对比、严重延迟分布和风险四象限，并沉淀 PRD、字段字典和验收文档。</w:t>
      </w:r>
    </w:p>
    <w:p>
      <w:r>
        <w:t>投递前请确保简历中每项描述与本人实际完成工作一致；面试重点可放在数据粒度、指标分母、NULL 处理与质量检查边界。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