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7A"/>
          <w:sz w:val="52"/>
        </w:rPr>
        <w:t>SAPTalk, Explained From Scratch</w:t>
      </w:r>
    </w:p>
    <w:p>
      <w:pPr>
        <w:spacing w:after="80"/>
      </w:pPr>
      <w:r>
        <w:rPr>
          <w:color w:val="64777F"/>
          <w:sz w:val="25"/>
        </w:rPr>
        <w:t>What SAP is, how you get data out of it, and what we are building on top of it.</w:t>
      </w:r>
    </w:p>
    <w:p>
      <w:r>
        <w:rPr>
          <w:i/>
          <w:color w:val="64777F"/>
          <w:sz w:val="20"/>
        </w:rPr>
        <w:t>Written for someone who has never touched SAP. No prior knowledge assumed. Every term is defined the first time it appears, and there is a glossary at the end.</w:t>
      </w:r>
    </w:p>
    <w:p/>
    <w:p>
      <w:pPr>
        <w:pStyle w:val="Heading1"/>
      </w:pPr>
      <w:r>
        <w:t>1. What is SAP?</w:t>
      </w:r>
    </w:p>
    <w:p>
      <w:pPr>
        <w:pStyle w:val="Heading2"/>
      </w:pPr>
      <w:r>
        <w:t>The short version</w:t>
      </w:r>
    </w:p>
    <w:p>
      <w:r>
        <w:t>SAP is the software that large companies run their business on. Not their website, not their email — the actual machinery of the business. When a factory records that it received 400 units of steel, when payroll pays 8,000 employees, when a warehouse ships an order, when accounting closes the books at month end — in a huge number of large companies, all of that happens inside SAP.</w:t>
      </w:r>
    </w:p>
    <w:p>
      <w:r>
        <w:t xml:space="preserve">The category name for this kind of software is </w:t>
      </w:r>
      <w:r>
        <w:rPr>
          <w:b/>
        </w:rPr>
        <w:t>ERP</w:t>
      </w:r>
      <w:r>
        <w:t xml:space="preserve"> — Enterprise Resource Planning. The idea of an ERP is that instead of running finance in one system, inventory in another, and HR in a third, you run everything in one system on one shared database. So when the warehouse ships an order, accounting sees the revenue immediately, because it is literally the same data.</w:t>
      </w:r>
    </w:p>
    <w:tbl>
      <w:tblPr>
        <w:tblStyle w:val="TableGrid"/>
        <w:tblW w:type="auto" w:w="0"/>
        <w:tblLook w:firstColumn="1" w:firstRow="1" w:lastColumn="0" w:lastRow="0" w:noHBand="0" w:noVBand="1" w:val="04A0"/>
      </w:tblPr>
      <w:tblGrid>
        <w:gridCol w:w="9360"/>
      </w:tblGrid>
      <w:tr>
        <w:tc>
          <w:tcPr>
            <w:tcW w:type="dxa" w:w="9360"/>
            <w:shd w:val="clear" w:fill="FBF3E5"/>
          </w:tcPr>
          <w:p>
            <w:pPr>
              <w:spacing w:after="60"/>
            </w:pPr>
            <w:r/>
            <w:r>
              <w:rPr>
                <w:b/>
                <w:color w:val="8A5613"/>
                <w:sz w:val="20"/>
              </w:rPr>
              <w:t>Why you should care</w:t>
            </w:r>
          </w:p>
          <w:p>
            <w:r>
              <w:rPr>
                <w:sz w:val="20"/>
              </w:rPr>
              <w:t>Roughly three quarters of the world's business transactions touch an SAP system at some point. If you work anywhere near a large enterprise, the data you want is very often sitting inside SAP. That is exactly why a tool that makes SAP data easy to ask questions about is a good portfolio project — it is a real, widely-felt problem.</w:t>
            </w:r>
          </w:p>
        </w:tc>
      </w:tr>
    </w:tbl>
    <w:p>
      <w:pPr>
        <w:spacing w:after="0"/>
      </w:pPr>
    </w:p>
    <w:p>
      <w:pPr>
        <w:pStyle w:val="Heading2"/>
      </w:pPr>
      <w:r>
        <w:t>SAP the company vs. SAP the system</w:t>
      </w:r>
    </w:p>
    <w:p>
      <w:r>
        <w:t>Slightly confusing, and worth getting straight early:</w:t>
      </w:r>
    </w:p>
    <w:tbl>
      <w:tblPr>
        <w:tblStyle w:val="TableGrid"/>
        <w:tblW w:type="auto" w:w="0"/>
        <w:jc w:val="left"/>
        <w:tblLook w:firstColumn="1" w:firstRow="1" w:lastColumn="0" w:lastRow="0" w:noHBand="0" w:noVBand="1" w:val="04A0"/>
      </w:tblPr>
      <w:tblGrid>
        <w:gridCol w:w="4680"/>
        <w:gridCol w:w="4680"/>
      </w:tblGrid>
      <w:tr>
        <w:tc>
          <w:tcPr>
            <w:tcW w:type="dxa" w:w="2304"/>
            <w:shd w:val="clear" w:fill="E8EFF1"/>
          </w:tcPr>
          <w:p>
            <w:r/>
            <w:r>
              <w:rPr>
                <w:b/>
                <w:color w:val="0F6E7A"/>
                <w:sz w:val="19"/>
              </w:rPr>
              <w:t>Term</w:t>
            </w:r>
          </w:p>
        </w:tc>
        <w:tc>
          <w:tcPr>
            <w:tcW w:type="dxa" w:w="7056"/>
            <w:shd w:val="clear" w:fill="E8EFF1"/>
          </w:tcPr>
          <w:p>
            <w:r/>
            <w:r>
              <w:rPr>
                <w:b/>
                <w:color w:val="0F6E7A"/>
                <w:sz w:val="19"/>
              </w:rPr>
              <w:t>What it actually means</w:t>
            </w:r>
          </w:p>
        </w:tc>
      </w:tr>
      <w:tr>
        <w:tc>
          <w:tcPr>
            <w:tcW w:type="dxa" w:w="2304"/>
          </w:tcPr>
          <w:p>
            <w:pPr>
              <w:spacing w:after="40"/>
            </w:pPr>
            <w:r/>
            <w:r>
              <w:rPr>
                <w:b/>
                <w:sz w:val="19"/>
              </w:rPr>
              <w:t>SAP SE</w:t>
            </w:r>
          </w:p>
        </w:tc>
        <w:tc>
          <w:tcPr>
            <w:tcW w:type="dxa" w:w="7056"/>
          </w:tcPr>
          <w:p>
            <w:pPr>
              <w:spacing w:after="40"/>
            </w:pPr>
            <w:r/>
            <w:r>
              <w:rPr>
                <w:sz w:val="19"/>
              </w:rPr>
              <w:t>The German company, founded 1972. One of the largest software companies in the world.</w:t>
            </w:r>
          </w:p>
        </w:tc>
      </w:tr>
      <w:tr>
        <w:tc>
          <w:tcPr>
            <w:tcW w:type="dxa" w:w="2304"/>
          </w:tcPr>
          <w:p>
            <w:pPr>
              <w:spacing w:after="40"/>
            </w:pPr>
            <w:r/>
            <w:r>
              <w:rPr>
                <w:b/>
                <w:sz w:val="19"/>
              </w:rPr>
              <w:t>SAP ERP / SAP S/4HANA</w:t>
            </w:r>
          </w:p>
        </w:tc>
        <w:tc>
          <w:tcPr>
            <w:tcW w:type="dxa" w:w="7056"/>
          </w:tcPr>
          <w:p>
            <w:pPr>
              <w:spacing w:after="40"/>
            </w:pPr>
            <w:r/>
            <w:r>
              <w:rPr>
                <w:sz w:val="19"/>
              </w:rPr>
              <w:t>The product. S/4HANA is the current generation; older systems are often called SAP ECC. When someone says "we're on SAP," this is what they mean.</w:t>
            </w:r>
          </w:p>
        </w:tc>
      </w:tr>
      <w:tr>
        <w:tc>
          <w:tcPr>
            <w:tcW w:type="dxa" w:w="2304"/>
          </w:tcPr>
          <w:p>
            <w:pPr>
              <w:spacing w:after="40"/>
            </w:pPr>
            <w:r/>
            <w:r>
              <w:rPr>
                <w:b/>
                <w:sz w:val="19"/>
              </w:rPr>
              <w:t>SAP S/4HANA Cloud</w:t>
            </w:r>
          </w:p>
        </w:tc>
        <w:tc>
          <w:tcPr>
            <w:tcW w:type="dxa" w:w="7056"/>
          </w:tcPr>
          <w:p>
            <w:pPr>
              <w:spacing w:after="40"/>
            </w:pPr>
            <w:r/>
            <w:r>
              <w:rPr>
                <w:sz w:val="19"/>
              </w:rPr>
              <w:t>The cloud-hosted version of S/4HANA. This is the flavour our sandbox imitates.</w:t>
            </w:r>
          </w:p>
        </w:tc>
      </w:tr>
      <w:tr>
        <w:tc>
          <w:tcPr>
            <w:tcW w:type="dxa" w:w="2304"/>
          </w:tcPr>
          <w:p>
            <w:pPr>
              <w:spacing w:after="40"/>
            </w:pPr>
            <w:r/>
            <w:r>
              <w:rPr>
                <w:b/>
                <w:sz w:val="19"/>
              </w:rPr>
              <w:t>HANA</w:t>
            </w:r>
          </w:p>
        </w:tc>
        <w:tc>
          <w:tcPr>
            <w:tcW w:type="dxa" w:w="7056"/>
          </w:tcPr>
          <w:p>
            <w:pPr>
              <w:spacing w:after="40"/>
            </w:pPr>
            <w:r/>
            <w:r>
              <w:rPr>
                <w:sz w:val="19"/>
              </w:rPr>
              <w:t>SAP's in-memory database that S/4HANA runs on. You will not touch it directly in this project.</w:t>
            </w:r>
          </w:p>
        </w:tc>
      </w:tr>
    </w:tbl>
    <w:p>
      <w:pPr>
        <w:spacing w:after="0"/>
      </w:pPr>
    </w:p>
    <w:p>
      <w:pPr>
        <w:pStyle w:val="Heading2"/>
      </w:pPr>
      <w:r>
        <w:t>Why getting data out of SAP is hard</w:t>
      </w:r>
    </w:p>
    <w:p>
      <w:r>
        <w:t>SAP is old, enormous, and built for correctness rather than convenience. A few consequences that shape this whole project:</w:t>
      </w:r>
    </w:p>
    <w:p>
      <w:pPr>
        <w:pStyle w:val="ListBullet"/>
      </w:pPr>
      <w:r>
        <w:t xml:space="preserve">It has thousands of tables with cryptic names. Customer data historically lived in a table called </w:t>
      </w:r>
      <w:r>
        <w:rPr>
          <w:rFonts w:ascii="Consolas" w:hAnsi="Consolas"/>
          <w:color w:val="0F6E7A"/>
          <w:sz w:val="20"/>
        </w:rPr>
        <w:t>KNA1</w:t>
      </w:r>
      <w:r>
        <w:t>. Field names are abbreviated German in places. Nothing is guessable.</w:t>
      </w:r>
    </w:p>
    <w:p>
      <w:pPr>
        <w:pStyle w:val="ListBullet"/>
      </w:pPr>
      <w:r>
        <w:t>The data model is deeply normalised. One "customer" is spread across many tables, so even a simple question can require joining several of them.</w:t>
      </w:r>
    </w:p>
    <w:p>
      <w:pPr>
        <w:pStyle w:val="ListBullet"/>
      </w:pPr>
      <w:r>
        <w:t>Access is controlled and technical. Business users almost never query SAP directly — they file a request with IT and wait, or export to Excel.</w:t>
      </w:r>
    </w:p>
    <w:p>
      <w:r>
        <w:t>That last point is the gap this project aims at. The person who wants the answer is rarely the person who can write the query.</w:t>
      </w:r>
    </w:p>
    <w:p>
      <w:pPr>
        <w:pStyle w:val="Heading1"/>
      </w:pPr>
      <w:r>
        <w:t>2. What is a "Business Partner"?</w:t>
      </w:r>
    </w:p>
    <w:p>
      <w:r>
        <w:t>This is the specific slice of SAP data we are working with, so it is worth understanding properly.</w:t>
      </w:r>
    </w:p>
    <w:p>
      <w:r>
        <w:t>In older SAP systems, a customer and a supplier were stored completely separately — different tables, different numbers, different screens. That caused an obvious problem: plenty of companies are both. You buy components from a firm and also sell them services. In the old model that firm existed twice, with two identities that could drift out of sync.</w:t>
      </w:r>
    </w:p>
    <w:p>
      <w:r>
        <w:rPr>
          <w:b/>
        </w:rPr>
        <w:t>The Business Partner is SAP's fix for that.</w:t>
      </w:r>
      <w:r>
        <w:t xml:space="preserve"> It is a single, unified record for any person or organisation your business deals with. One record, one ID, and then roles layered on top of it: this Business Partner is a customer, and also a supplier, and also a shipping address.</w:t>
      </w:r>
    </w:p>
    <w:p>
      <w:pPr>
        <w:pStyle w:val="Heading2"/>
      </w:pPr>
      <w:r>
        <w:t>What a Business Partner record contains</w:t>
      </w:r>
    </w:p>
    <w:p>
      <w:r>
        <w:t>The full entity has around ninety fields. These are the ones our app currently displays:</w:t>
      </w:r>
    </w:p>
    <w:tbl>
      <w:tblPr>
        <w:tblStyle w:val="TableGrid"/>
        <w:tblW w:type="auto" w:w="0"/>
        <w:jc w:val="left"/>
        <w:tblLook w:firstColumn="1" w:firstRow="1" w:lastColumn="0" w:lastRow="0" w:noHBand="0" w:noVBand="1" w:val="04A0"/>
      </w:tblPr>
      <w:tblGrid>
        <w:gridCol w:w="4680"/>
        <w:gridCol w:w="4680"/>
      </w:tblGrid>
      <w:tr>
        <w:tc>
          <w:tcPr>
            <w:tcW w:type="dxa" w:w="3168"/>
            <w:shd w:val="clear" w:fill="E8EFF1"/>
          </w:tcPr>
          <w:p>
            <w:r/>
            <w:r>
              <w:rPr>
                <w:b/>
                <w:color w:val="0F6E7A"/>
                <w:sz w:val="19"/>
              </w:rPr>
              <w:t>Field</w:t>
            </w:r>
          </w:p>
        </w:tc>
        <w:tc>
          <w:tcPr>
            <w:tcW w:type="dxa" w:w="6192"/>
            <w:shd w:val="clear" w:fill="E8EFF1"/>
          </w:tcPr>
          <w:p>
            <w:r/>
            <w:r>
              <w:rPr>
                <w:b/>
                <w:color w:val="0F6E7A"/>
                <w:sz w:val="19"/>
              </w:rPr>
              <w:t>What it holds</w:t>
            </w:r>
          </w:p>
        </w:tc>
      </w:tr>
      <w:tr>
        <w:tc>
          <w:tcPr>
            <w:tcW w:type="dxa" w:w="3168"/>
          </w:tcPr>
          <w:p>
            <w:pPr>
              <w:spacing w:after="40"/>
            </w:pPr>
            <w:r/>
            <w:r>
              <w:rPr>
                <w:rFonts w:ascii="Consolas" w:hAnsi="Consolas"/>
                <w:sz w:val="18"/>
              </w:rPr>
              <w:t>BusinessPartner</w:t>
            </w:r>
          </w:p>
        </w:tc>
        <w:tc>
          <w:tcPr>
            <w:tcW w:type="dxa" w:w="6192"/>
          </w:tcPr>
          <w:p>
            <w:pPr>
              <w:spacing w:after="40"/>
            </w:pPr>
            <w:r/>
            <w:r>
              <w:rPr>
                <w:sz w:val="19"/>
              </w:rPr>
              <w:t>The unique ID, e.g. 1000000. This is the key everything else hangs off.</w:t>
            </w:r>
          </w:p>
        </w:tc>
      </w:tr>
      <w:tr>
        <w:tc>
          <w:tcPr>
            <w:tcW w:type="dxa" w:w="3168"/>
          </w:tcPr>
          <w:p>
            <w:pPr>
              <w:spacing w:after="40"/>
            </w:pPr>
            <w:r/>
            <w:r>
              <w:rPr>
                <w:rFonts w:ascii="Consolas" w:hAnsi="Consolas"/>
                <w:sz w:val="18"/>
              </w:rPr>
              <w:t>BusinessPartnerFullName</w:t>
            </w:r>
          </w:p>
        </w:tc>
        <w:tc>
          <w:tcPr>
            <w:tcW w:type="dxa" w:w="6192"/>
          </w:tcPr>
          <w:p>
            <w:pPr>
              <w:spacing w:after="40"/>
            </w:pPr>
            <w:r/>
            <w:r>
              <w:rPr>
                <w:sz w:val="19"/>
              </w:rPr>
              <w:t>Display name — either a person's name or a company name.</w:t>
            </w:r>
          </w:p>
        </w:tc>
      </w:tr>
      <w:tr>
        <w:tc>
          <w:tcPr>
            <w:tcW w:type="dxa" w:w="3168"/>
          </w:tcPr>
          <w:p>
            <w:pPr>
              <w:spacing w:after="40"/>
            </w:pPr>
            <w:r/>
            <w:r>
              <w:rPr>
                <w:rFonts w:ascii="Consolas" w:hAnsi="Consolas"/>
                <w:sz w:val="18"/>
              </w:rPr>
              <w:t>BusinessPartnerCategory</w:t>
            </w:r>
          </w:p>
        </w:tc>
        <w:tc>
          <w:tcPr>
            <w:tcW w:type="dxa" w:w="6192"/>
          </w:tcPr>
          <w:p>
            <w:pPr>
              <w:spacing w:after="40"/>
            </w:pPr>
            <w:r/>
            <w:r>
              <w:rPr>
                <w:sz w:val="19"/>
              </w:rPr>
              <w:t>1 = a person, 2 = an organisation, 3 = a group.</w:t>
            </w:r>
          </w:p>
        </w:tc>
      </w:tr>
      <w:tr>
        <w:tc>
          <w:tcPr>
            <w:tcW w:type="dxa" w:w="3168"/>
          </w:tcPr>
          <w:p>
            <w:pPr>
              <w:spacing w:after="40"/>
            </w:pPr>
            <w:r/>
            <w:r>
              <w:rPr>
                <w:rFonts w:ascii="Consolas" w:hAnsi="Consolas"/>
                <w:sz w:val="18"/>
              </w:rPr>
              <w:t>BusinessPartnerGrouping</w:t>
            </w:r>
          </w:p>
        </w:tc>
        <w:tc>
          <w:tcPr>
            <w:tcW w:type="dxa" w:w="6192"/>
          </w:tcPr>
          <w:p>
            <w:pPr>
              <w:spacing w:after="40"/>
            </w:pPr>
            <w:r/>
            <w:r>
              <w:rPr>
                <w:sz w:val="19"/>
              </w:rPr>
              <w:t>A classification code the business defines for itself.</w:t>
            </w:r>
          </w:p>
        </w:tc>
      </w:tr>
      <w:tr>
        <w:tc>
          <w:tcPr>
            <w:tcW w:type="dxa" w:w="3168"/>
          </w:tcPr>
          <w:p>
            <w:pPr>
              <w:spacing w:after="40"/>
            </w:pPr>
            <w:r/>
            <w:r>
              <w:rPr>
                <w:rFonts w:ascii="Consolas" w:hAnsi="Consolas"/>
                <w:sz w:val="18"/>
              </w:rPr>
              <w:t>OrganizationBPName1</w:t>
            </w:r>
          </w:p>
        </w:tc>
        <w:tc>
          <w:tcPr>
            <w:tcW w:type="dxa" w:w="6192"/>
          </w:tcPr>
          <w:p>
            <w:pPr>
              <w:spacing w:after="40"/>
            </w:pPr>
            <w:r/>
            <w:r>
              <w:rPr>
                <w:sz w:val="19"/>
              </w:rPr>
              <w:t>Company name, when the partner is an organisation.</w:t>
            </w:r>
          </w:p>
        </w:tc>
      </w:tr>
      <w:tr>
        <w:tc>
          <w:tcPr>
            <w:tcW w:type="dxa" w:w="3168"/>
          </w:tcPr>
          <w:p>
            <w:pPr>
              <w:spacing w:after="40"/>
            </w:pPr>
            <w:r/>
            <w:r>
              <w:rPr>
                <w:rFonts w:ascii="Consolas" w:hAnsi="Consolas"/>
                <w:sz w:val="18"/>
              </w:rPr>
              <w:t>FirstName</w:t>
            </w:r>
          </w:p>
        </w:tc>
        <w:tc>
          <w:tcPr>
            <w:tcW w:type="dxa" w:w="6192"/>
          </w:tcPr>
          <w:p>
            <w:pPr>
              <w:spacing w:after="40"/>
            </w:pPr>
            <w:r/>
            <w:r>
              <w:rPr>
                <w:sz w:val="19"/>
              </w:rPr>
              <w:t>Given name, when the partner is a person.</w:t>
            </w:r>
          </w:p>
        </w:tc>
      </w:tr>
      <w:tr>
        <w:tc>
          <w:tcPr>
            <w:tcW w:type="dxa" w:w="3168"/>
          </w:tcPr>
          <w:p>
            <w:pPr>
              <w:spacing w:after="40"/>
            </w:pPr>
            <w:r/>
            <w:r>
              <w:rPr>
                <w:rFonts w:ascii="Consolas" w:hAnsi="Consolas"/>
                <w:sz w:val="18"/>
              </w:rPr>
              <w:t>LastName</w:t>
            </w:r>
          </w:p>
        </w:tc>
        <w:tc>
          <w:tcPr>
            <w:tcW w:type="dxa" w:w="6192"/>
          </w:tcPr>
          <w:p>
            <w:pPr>
              <w:spacing w:after="40"/>
            </w:pPr>
            <w:r/>
            <w:r>
              <w:rPr>
                <w:sz w:val="19"/>
              </w:rPr>
              <w:t>Family name, when the partner is a person.</w:t>
            </w:r>
          </w:p>
        </w:tc>
      </w:tr>
      <w:tr>
        <w:tc>
          <w:tcPr>
            <w:tcW w:type="dxa" w:w="3168"/>
          </w:tcPr>
          <w:p>
            <w:pPr>
              <w:spacing w:after="40"/>
            </w:pPr>
            <w:r/>
            <w:r>
              <w:rPr>
                <w:rFonts w:ascii="Consolas" w:hAnsi="Consolas"/>
                <w:sz w:val="18"/>
              </w:rPr>
              <w:t>CreatedByUser</w:t>
            </w:r>
          </w:p>
        </w:tc>
        <w:tc>
          <w:tcPr>
            <w:tcW w:type="dxa" w:w="6192"/>
          </w:tcPr>
          <w:p>
            <w:pPr>
              <w:spacing w:after="40"/>
            </w:pPr>
            <w:r/>
            <w:r>
              <w:rPr>
                <w:sz w:val="19"/>
              </w:rPr>
              <w:t>The SAP user who created the record.</w:t>
            </w:r>
          </w:p>
        </w:tc>
      </w:tr>
      <w:tr>
        <w:tc>
          <w:tcPr>
            <w:tcW w:type="dxa" w:w="3168"/>
          </w:tcPr>
          <w:p>
            <w:pPr>
              <w:spacing w:after="40"/>
            </w:pPr>
            <w:r/>
            <w:r>
              <w:rPr>
                <w:rFonts w:ascii="Consolas" w:hAnsi="Consolas"/>
                <w:sz w:val="18"/>
              </w:rPr>
              <w:t>CreationDate</w:t>
            </w:r>
          </w:p>
        </w:tc>
        <w:tc>
          <w:tcPr>
            <w:tcW w:type="dxa" w:w="6192"/>
          </w:tcPr>
          <w:p>
            <w:pPr>
              <w:spacing w:after="40"/>
            </w:pPr>
            <w:r/>
            <w:r>
              <w:rPr>
                <w:sz w:val="19"/>
              </w:rPr>
              <w:t>When it was created.</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fill="FBF3E5"/>
          </w:tcPr>
          <w:p>
            <w:pPr>
              <w:spacing w:after="60"/>
            </w:pPr>
            <w:r/>
            <w:r>
              <w:rPr>
                <w:b/>
                <w:color w:val="8A5613"/>
                <w:sz w:val="20"/>
              </w:rPr>
              <w:t>A note on the data you'll see</w:t>
            </w:r>
          </w:p>
          <w:p>
            <w:r>
              <w:rPr>
                <w:sz w:val="20"/>
              </w:rPr>
              <w:t>Category 1 records have a first and last name and usually an empty company name. Category 2 records are the reverse. That is normal, not a bug — it is one table serving two different kinds of thing.</w:t>
            </w:r>
          </w:p>
        </w:tc>
      </w:tr>
    </w:tbl>
    <w:p>
      <w:pPr>
        <w:spacing w:after="0"/>
      </w:pPr>
    </w:p>
    <w:p>
      <w:pPr>
        <w:pStyle w:val="Heading1"/>
      </w:pPr>
      <w:r>
        <w:t>3. How do you get data out of SAP? APIs and OData</w:t>
      </w:r>
    </w:p>
    <w:p>
      <w:pPr>
        <w:pStyle w:val="Heading2"/>
      </w:pPr>
      <w:r>
        <w:t>What an API is</w:t>
      </w:r>
    </w:p>
    <w:p>
      <w:r>
        <w:t xml:space="preserve">An </w:t>
      </w:r>
      <w:r>
        <w:rPr>
          <w:b/>
        </w:rPr>
        <w:t>API</w:t>
      </w:r>
      <w:r>
        <w:t xml:space="preserve"> (Application Programming Interface) is a way for one program to ask another program for something, over the internet, in a format designed for machines rather than humans. A website returns a page for a person to read; an API returns raw data for code to work with.</w:t>
      </w:r>
    </w:p>
    <w:p>
      <w:r>
        <w:t>Our backend calls SAP's API, gets data back, and passes it to our frontend. SAP does not know or care that a browser is ultimately involved.</w:t>
      </w:r>
    </w:p>
    <w:p>
      <w:pPr>
        <w:pStyle w:val="Heading2"/>
      </w:pPr>
      <w:r>
        <w:t>What OData is</w:t>
      </w:r>
    </w:p>
    <w:p>
      <w:r>
        <w:rPr>
          <w:b/>
        </w:rPr>
        <w:t>OData</w:t>
      </w:r>
      <w:r>
        <w:t xml:space="preserve"> (Open Data Protocol) is the specific style of API that SAP uses. Its idea is that you should be able to query data over the web using nothing but a URL — filtering, sorting, paging, and picking columns, all expressed as parameters in the address.</w:t>
      </w:r>
    </w:p>
    <w:p>
      <w:r>
        <w:t xml:space="preserve">Think of it as SQL squeezed into a web address. If you know </w:t>
      </w:r>
      <w:r>
        <w:rPr>
          <w:rFonts w:ascii="Consolas" w:hAnsi="Consolas"/>
          <w:color w:val="0F6E7A"/>
          <w:sz w:val="20"/>
        </w:rPr>
        <w:t>SELECT name FROM customers WHERE country = 'DE' ORDER BY name LIMIT 10</w:t>
      </w:r>
      <w:r>
        <w:t>, OData expresses the same idea like this:</w:t>
      </w:r>
    </w:p>
    <w:p>
      <w:pPr>
        <w:pStyle w:val="Heading2"/>
      </w:pPr>
      <w:r>
        <w:t>One real URL, taken apart</w:t>
      </w:r>
    </w:p>
    <w:p>
      <w:r>
        <w:t>This is the actual request our backend makes today. Every piece of it means something:</w:t>
      </w:r>
    </w:p>
    <w:tbl>
      <w:tblPr>
        <w:tblStyle w:val="TableGrid"/>
        <w:tblW w:type="auto" w:w="0"/>
        <w:tblLook w:firstColumn="1" w:firstRow="1" w:lastColumn="0" w:lastRow="0" w:noHBand="0" w:noVBand="1" w:val="04A0"/>
      </w:tblPr>
      <w:tblGrid>
        <w:gridCol w:w="9360"/>
      </w:tblGrid>
      <w:tr>
        <w:tc>
          <w:tcPr>
            <w:tcW w:type="dxa" w:w="9360"/>
            <w:shd w:val="clear" w:fill="F2F6F7"/>
          </w:tcPr>
          <w:p>
            <w:pPr>
              <w:spacing w:after="40" w:line="240" w:lineRule="auto"/>
            </w:pPr>
            <w:r/>
            <w:r>
              <w:rPr>
                <w:rFonts w:ascii="Consolas" w:hAnsi="Consolas"/>
                <w:sz w:val="19"/>
              </w:rPr>
              <w:t>https://sandbox.api.sap.com/s4hanacloud/sap/opu/odata/sap/API_BUSINESS_PARTNER</w:t>
            </w:r>
          </w:p>
          <w:p>
            <w:pPr>
              <w:spacing w:after="40" w:line="240" w:lineRule="auto"/>
            </w:pPr>
            <w:r>
              <w:rPr>
                <w:rFonts w:ascii="Consolas" w:hAnsi="Consolas"/>
                <w:sz w:val="19"/>
              </w:rPr>
              <w:t xml:space="preserve">    /A_BusinessPartner</w:t>
            </w:r>
          </w:p>
          <w:p>
            <w:pPr>
              <w:spacing w:after="40" w:line="240" w:lineRule="auto"/>
            </w:pPr>
            <w:r>
              <w:rPr>
                <w:rFonts w:ascii="Consolas" w:hAnsi="Consolas"/>
                <w:sz w:val="19"/>
              </w:rPr>
              <w:t xml:space="preserve">    ?$format=json</w:t>
            </w:r>
          </w:p>
          <w:p>
            <w:pPr>
              <w:spacing w:after="40" w:line="240" w:lineRule="auto"/>
            </w:pPr>
            <w:r>
              <w:rPr>
                <w:rFonts w:ascii="Consolas" w:hAnsi="Consolas"/>
                <w:sz w:val="19"/>
              </w:rPr>
              <w:t xml:space="preserve">    &amp;$top=10</w:t>
            </w:r>
          </w:p>
          <w:p>
            <w:pPr>
              <w:spacing w:after="40" w:line="240" w:lineRule="auto"/>
            </w:pPr>
            <w:r>
              <w:rPr>
                <w:rFonts w:ascii="Consolas" w:hAnsi="Consolas"/>
                <w:sz w:val="19"/>
              </w:rPr>
              <w:t xml:space="preserve">    &amp;$select=BusinessPartner,BusinessPartnerFullName,CreationDate</w:t>
            </w:r>
          </w:p>
        </w:tc>
      </w:tr>
    </w:tbl>
    <w:p>
      <w:pPr>
        <w:spacing w:after="0"/>
      </w:pPr>
    </w:p>
    <w:tbl>
      <w:tblPr>
        <w:tblStyle w:val="TableGrid"/>
        <w:tblW w:type="auto" w:w="0"/>
        <w:jc w:val="left"/>
        <w:tblLook w:firstColumn="1" w:firstRow="1" w:lastColumn="0" w:lastRow="0" w:noHBand="0" w:noVBand="1" w:val="04A0"/>
      </w:tblPr>
      <w:tblGrid>
        <w:gridCol w:w="4680"/>
        <w:gridCol w:w="4680"/>
      </w:tblGrid>
      <w:tr>
        <w:tc>
          <w:tcPr>
            <w:tcW w:type="dxa" w:w="3312"/>
            <w:shd w:val="clear" w:fill="E8EFF1"/>
          </w:tcPr>
          <w:p>
            <w:r/>
            <w:r>
              <w:rPr>
                <w:b/>
                <w:color w:val="0F6E7A"/>
                <w:sz w:val="19"/>
              </w:rPr>
              <w:t>Piece</w:t>
            </w:r>
          </w:p>
        </w:tc>
        <w:tc>
          <w:tcPr>
            <w:tcW w:type="dxa" w:w="6048"/>
            <w:shd w:val="clear" w:fill="E8EFF1"/>
          </w:tcPr>
          <w:p>
            <w:r/>
            <w:r>
              <w:rPr>
                <w:b/>
                <w:color w:val="0F6E7A"/>
                <w:sz w:val="19"/>
              </w:rPr>
              <w:t>What it means</w:t>
            </w:r>
          </w:p>
        </w:tc>
      </w:tr>
      <w:tr>
        <w:tc>
          <w:tcPr>
            <w:tcW w:type="dxa" w:w="3312"/>
          </w:tcPr>
          <w:p>
            <w:pPr>
              <w:spacing w:after="40"/>
            </w:pPr>
            <w:r/>
            <w:r>
              <w:rPr>
                <w:rFonts w:ascii="Consolas" w:hAnsi="Consolas"/>
                <w:sz w:val="18"/>
              </w:rPr>
              <w:t>sandbox.api.sap.com</w:t>
            </w:r>
          </w:p>
        </w:tc>
        <w:tc>
          <w:tcPr>
            <w:tcW w:type="dxa" w:w="6048"/>
          </w:tcPr>
          <w:p>
            <w:pPr>
              <w:spacing w:after="40"/>
            </w:pPr>
            <w:r/>
            <w:r>
              <w:rPr>
                <w:sz w:val="19"/>
              </w:rPr>
              <w:t>SAP's free practice server. Fake data, safe to hit.</w:t>
            </w:r>
          </w:p>
        </w:tc>
      </w:tr>
      <w:tr>
        <w:tc>
          <w:tcPr>
            <w:tcW w:type="dxa" w:w="3312"/>
          </w:tcPr>
          <w:p>
            <w:pPr>
              <w:spacing w:after="40"/>
            </w:pPr>
            <w:r/>
            <w:r>
              <w:rPr>
                <w:rFonts w:ascii="Consolas" w:hAnsi="Consolas"/>
                <w:sz w:val="18"/>
              </w:rPr>
              <w:t>API_BUSINESS_PARTNER</w:t>
            </w:r>
          </w:p>
        </w:tc>
        <w:tc>
          <w:tcPr>
            <w:tcW w:type="dxa" w:w="6048"/>
          </w:tcPr>
          <w:p>
            <w:pPr>
              <w:spacing w:after="40"/>
            </w:pPr>
            <w:r/>
            <w:r>
              <w:rPr>
                <w:sz w:val="19"/>
              </w:rPr>
              <w:t>Which API. This one is about Business Partners.</w:t>
            </w:r>
          </w:p>
        </w:tc>
      </w:tr>
      <w:tr>
        <w:tc>
          <w:tcPr>
            <w:tcW w:type="dxa" w:w="3312"/>
          </w:tcPr>
          <w:p>
            <w:pPr>
              <w:spacing w:after="40"/>
            </w:pPr>
            <w:r/>
            <w:r>
              <w:rPr>
                <w:rFonts w:ascii="Consolas" w:hAnsi="Consolas"/>
                <w:sz w:val="18"/>
              </w:rPr>
              <w:t>A_BusinessPartner</w:t>
            </w:r>
          </w:p>
        </w:tc>
        <w:tc>
          <w:tcPr>
            <w:tcW w:type="dxa" w:w="6048"/>
          </w:tcPr>
          <w:p>
            <w:pPr>
              <w:spacing w:after="40"/>
            </w:pPr>
            <w:r/>
            <w:r>
              <w:rPr>
                <w:sz w:val="19"/>
              </w:rPr>
              <w:t>Which collection inside that API. Roughly: which table.</w:t>
            </w:r>
          </w:p>
        </w:tc>
      </w:tr>
      <w:tr>
        <w:tc>
          <w:tcPr>
            <w:tcW w:type="dxa" w:w="3312"/>
          </w:tcPr>
          <w:p>
            <w:pPr>
              <w:spacing w:after="40"/>
            </w:pPr>
            <w:r/>
            <w:r>
              <w:rPr>
                <w:rFonts w:ascii="Consolas" w:hAnsi="Consolas"/>
                <w:sz w:val="18"/>
              </w:rPr>
              <w:t>$format=json</w:t>
            </w:r>
          </w:p>
        </w:tc>
        <w:tc>
          <w:tcPr>
            <w:tcW w:type="dxa" w:w="6048"/>
          </w:tcPr>
          <w:p>
            <w:pPr>
              <w:spacing w:after="40"/>
            </w:pPr>
            <w:r/>
            <w:r>
              <w:rPr>
                <w:sz w:val="19"/>
              </w:rPr>
              <w:t>Give it to me as JSON, not XML. Required here — the default is XML.</w:t>
            </w:r>
          </w:p>
        </w:tc>
      </w:tr>
      <w:tr>
        <w:tc>
          <w:tcPr>
            <w:tcW w:type="dxa" w:w="3312"/>
          </w:tcPr>
          <w:p>
            <w:pPr>
              <w:spacing w:after="40"/>
            </w:pPr>
            <w:r/>
            <w:r>
              <w:rPr>
                <w:rFonts w:ascii="Consolas" w:hAnsi="Consolas"/>
                <w:sz w:val="18"/>
              </w:rPr>
              <w:t>$top=10</w:t>
            </w:r>
          </w:p>
        </w:tc>
        <w:tc>
          <w:tcPr>
            <w:tcW w:type="dxa" w:w="6048"/>
          </w:tcPr>
          <w:p>
            <w:pPr>
              <w:spacing w:after="40"/>
            </w:pPr>
            <w:r/>
            <w:r>
              <w:rPr>
                <w:sz w:val="19"/>
              </w:rPr>
              <w:t>Only the first 10 rows. Same as SQL's LIMIT.</w:t>
            </w:r>
          </w:p>
        </w:tc>
      </w:tr>
      <w:tr>
        <w:tc>
          <w:tcPr>
            <w:tcW w:type="dxa" w:w="3312"/>
          </w:tcPr>
          <w:p>
            <w:pPr>
              <w:spacing w:after="40"/>
            </w:pPr>
            <w:r/>
            <w:r>
              <w:rPr>
                <w:rFonts w:ascii="Consolas" w:hAnsi="Consolas"/>
                <w:sz w:val="18"/>
              </w:rPr>
              <w:t>$select=...</w:t>
            </w:r>
          </w:p>
        </w:tc>
        <w:tc>
          <w:tcPr>
            <w:tcW w:type="dxa" w:w="6048"/>
          </w:tcPr>
          <w:p>
            <w:pPr>
              <w:spacing w:after="40"/>
            </w:pPr>
            <w:r/>
            <w:r>
              <w:rPr>
                <w:sz w:val="19"/>
              </w:rPr>
              <w:t>Only these columns. Without it you get all ~90.</w:t>
            </w:r>
          </w:p>
        </w:tc>
      </w:tr>
      <w:tr>
        <w:tc>
          <w:tcPr>
            <w:tcW w:type="dxa" w:w="3312"/>
          </w:tcPr>
          <w:p>
            <w:pPr>
              <w:spacing w:after="40"/>
            </w:pPr>
            <w:r/>
            <w:r>
              <w:rPr>
                <w:rFonts w:ascii="Consolas" w:hAnsi="Consolas"/>
                <w:sz w:val="18"/>
              </w:rPr>
              <w:t>$filter=...</w:t>
            </w:r>
          </w:p>
        </w:tc>
        <w:tc>
          <w:tcPr>
            <w:tcW w:type="dxa" w:w="6048"/>
          </w:tcPr>
          <w:p>
            <w:pPr>
              <w:spacing w:after="40"/>
            </w:pPr>
            <w:r/>
            <w:r>
              <w:rPr>
                <w:sz w:val="19"/>
              </w:rPr>
              <w:t>Conditions. We're not using it yet — that's milestone 3.</w:t>
            </w:r>
          </w:p>
        </w:tc>
      </w:tr>
      <w:tr>
        <w:tc>
          <w:tcPr>
            <w:tcW w:type="dxa" w:w="3312"/>
          </w:tcPr>
          <w:p>
            <w:pPr>
              <w:spacing w:after="40"/>
            </w:pPr>
            <w:r/>
            <w:r>
              <w:rPr>
                <w:rFonts w:ascii="Consolas" w:hAnsi="Consolas"/>
                <w:sz w:val="18"/>
              </w:rPr>
              <w:t>$orderby=...</w:t>
            </w:r>
          </w:p>
        </w:tc>
        <w:tc>
          <w:tcPr>
            <w:tcW w:type="dxa" w:w="6048"/>
          </w:tcPr>
          <w:p>
            <w:pPr>
              <w:spacing w:after="40"/>
            </w:pPr>
            <w:r/>
            <w:r>
              <w:rPr>
                <w:sz w:val="19"/>
              </w:rPr>
              <w:t>Sorting. Also milestone 3.</w:t>
            </w:r>
          </w:p>
        </w:tc>
      </w:tr>
    </w:tbl>
    <w:p>
      <w:pPr>
        <w:spacing w:after="0"/>
      </w:pPr>
    </w:p>
    <w:p>
      <w:r>
        <w:t xml:space="preserve">Those </w:t>
      </w:r>
      <w:r>
        <w:rPr>
          <w:rFonts w:ascii="Consolas" w:hAnsi="Consolas"/>
          <w:color w:val="0F6E7A"/>
          <w:sz w:val="20"/>
        </w:rPr>
        <w:t>$</w:t>
      </w:r>
      <w:r>
        <w:t xml:space="preserve">-prefixed parameters are called </w:t>
      </w:r>
      <w:r>
        <w:rPr>
          <w:b/>
        </w:rPr>
        <w:t>system query options</w:t>
      </w:r>
      <w:r>
        <w:t>. They are the entire vocabulary our app will eventually generate. Learn these six and you understand most of what this project does.</w:t>
      </w:r>
    </w:p>
    <w:p>
      <w:pPr>
        <w:pStyle w:val="Heading2"/>
      </w:pPr>
      <w:r>
        <w:t>The version trap: OData V2 vs V4</w:t>
      </w:r>
    </w:p>
    <w:p>
      <w:r>
        <w:t xml:space="preserve">OData has two versions in wide use, and </w:t>
      </w:r>
      <w:r>
        <w:rPr>
          <w:b/>
        </w:rPr>
        <w:t>they are not compatible</w:t>
      </w:r>
      <w:r>
        <w:t>. The SAP sandbox we're using speaks V2. Most documentation you'll find online — and most of what an AI model will confidently tell you — is V4. This is the single most likely thing to waste your time, so it's worth seeing plainly:</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fill="E8EFF1"/>
          </w:tcPr>
          <w:p>
            <w:r/>
            <w:r>
              <w:rPr>
                <w:b/>
                <w:color w:val="0F6E7A"/>
                <w:sz w:val="19"/>
              </w:rPr>
              <w:t>Task</w:t>
            </w:r>
          </w:p>
        </w:tc>
        <w:tc>
          <w:tcPr>
            <w:tcW w:type="dxa" w:w="3600"/>
            <w:shd w:val="clear" w:fill="E8EFF1"/>
          </w:tcPr>
          <w:p>
            <w:r/>
            <w:r>
              <w:rPr>
                <w:b/>
                <w:color w:val="0F6E7A"/>
                <w:sz w:val="19"/>
              </w:rPr>
              <w:t>V2 (what we have)</w:t>
            </w:r>
          </w:p>
        </w:tc>
        <w:tc>
          <w:tcPr>
            <w:tcW w:type="dxa" w:w="3312"/>
            <w:shd w:val="clear" w:fill="E8EFF1"/>
          </w:tcPr>
          <w:p>
            <w:r/>
            <w:r>
              <w:rPr>
                <w:b/>
                <w:color w:val="0F6E7A"/>
                <w:sz w:val="19"/>
              </w:rPr>
              <w:t>V4 (what docs show)</w:t>
            </w:r>
          </w:p>
        </w:tc>
      </w:tr>
      <w:tr>
        <w:tc>
          <w:tcPr>
            <w:tcW w:type="dxa" w:w="2448"/>
          </w:tcPr>
          <w:p>
            <w:pPr>
              <w:spacing w:after="40"/>
            </w:pPr>
            <w:r/>
            <w:r>
              <w:rPr>
                <w:b/>
                <w:sz w:val="19"/>
              </w:rPr>
              <w:t>Get the rows</w:t>
            </w:r>
          </w:p>
        </w:tc>
        <w:tc>
          <w:tcPr>
            <w:tcW w:type="dxa" w:w="3600"/>
          </w:tcPr>
          <w:p>
            <w:pPr>
              <w:spacing w:after="40"/>
            </w:pPr>
            <w:r/>
            <w:r>
              <w:rPr>
                <w:rFonts w:ascii="Consolas" w:hAnsi="Consolas"/>
                <w:sz w:val="18"/>
              </w:rPr>
              <w:t>{ d: { results: [] } }</w:t>
            </w:r>
          </w:p>
        </w:tc>
        <w:tc>
          <w:tcPr>
            <w:tcW w:type="dxa" w:w="3312"/>
          </w:tcPr>
          <w:p>
            <w:pPr>
              <w:spacing w:after="40"/>
            </w:pPr>
            <w:r/>
            <w:r>
              <w:rPr>
                <w:rFonts w:ascii="Consolas" w:hAnsi="Consolas"/>
                <w:sz w:val="18"/>
              </w:rPr>
              <w:t>{ value: [] }</w:t>
            </w:r>
          </w:p>
        </w:tc>
      </w:tr>
      <w:tr>
        <w:tc>
          <w:tcPr>
            <w:tcW w:type="dxa" w:w="2448"/>
          </w:tcPr>
          <w:p>
            <w:pPr>
              <w:spacing w:after="40"/>
            </w:pPr>
            <w:r/>
            <w:r>
              <w:rPr>
                <w:b/>
                <w:sz w:val="19"/>
              </w:rPr>
              <w:t>Ask for JSON</w:t>
            </w:r>
          </w:p>
        </w:tc>
        <w:tc>
          <w:tcPr>
            <w:tcW w:type="dxa" w:w="3600"/>
          </w:tcPr>
          <w:p>
            <w:pPr>
              <w:spacing w:after="40"/>
            </w:pPr>
            <w:r/>
            <w:r>
              <w:rPr>
                <w:rFonts w:ascii="Consolas" w:hAnsi="Consolas"/>
                <w:sz w:val="18"/>
              </w:rPr>
              <w:t>$format=json needed</w:t>
            </w:r>
          </w:p>
        </w:tc>
        <w:tc>
          <w:tcPr>
            <w:tcW w:type="dxa" w:w="3312"/>
          </w:tcPr>
          <w:p>
            <w:pPr>
              <w:spacing w:after="40"/>
            </w:pPr>
            <w:r/>
            <w:r>
              <w:rPr>
                <w:sz w:val="19"/>
              </w:rPr>
              <w:t>Default</w:t>
            </w:r>
          </w:p>
        </w:tc>
      </w:tr>
      <w:tr>
        <w:tc>
          <w:tcPr>
            <w:tcW w:type="dxa" w:w="2448"/>
          </w:tcPr>
          <w:p>
            <w:pPr>
              <w:spacing w:after="40"/>
            </w:pPr>
            <w:r/>
            <w:r>
              <w:rPr>
                <w:b/>
                <w:sz w:val="19"/>
              </w:rPr>
              <w:t>Count rows</w:t>
            </w:r>
          </w:p>
        </w:tc>
        <w:tc>
          <w:tcPr>
            <w:tcW w:type="dxa" w:w="3600"/>
          </w:tcPr>
          <w:p>
            <w:pPr>
              <w:spacing w:after="40"/>
            </w:pPr>
            <w:r/>
            <w:r>
              <w:rPr>
                <w:rFonts w:ascii="Consolas" w:hAnsi="Consolas"/>
                <w:sz w:val="18"/>
              </w:rPr>
              <w:t>$inlinecount=allpages</w:t>
            </w:r>
          </w:p>
        </w:tc>
        <w:tc>
          <w:tcPr>
            <w:tcW w:type="dxa" w:w="3312"/>
          </w:tcPr>
          <w:p>
            <w:pPr>
              <w:spacing w:after="40"/>
            </w:pPr>
            <w:r/>
            <w:r>
              <w:rPr>
                <w:rFonts w:ascii="Consolas" w:hAnsi="Consolas"/>
                <w:sz w:val="18"/>
              </w:rPr>
              <w:t>$count=true</w:t>
            </w:r>
          </w:p>
        </w:tc>
      </w:tr>
      <w:tr>
        <w:tc>
          <w:tcPr>
            <w:tcW w:type="dxa" w:w="2448"/>
          </w:tcPr>
          <w:p>
            <w:pPr>
              <w:spacing w:after="40"/>
            </w:pPr>
            <w:r/>
            <w:r>
              <w:rPr>
                <w:b/>
                <w:sz w:val="19"/>
              </w:rPr>
              <w:t>Read a date</w:t>
            </w:r>
          </w:p>
        </w:tc>
        <w:tc>
          <w:tcPr>
            <w:tcW w:type="dxa" w:w="3600"/>
          </w:tcPr>
          <w:p>
            <w:pPr>
              <w:spacing w:after="40"/>
            </w:pPr>
            <w:r/>
            <w:r>
              <w:rPr>
                <w:rFonts w:ascii="Consolas" w:hAnsi="Consolas"/>
                <w:sz w:val="18"/>
              </w:rPr>
              <w:t>/Date(1700000000000)/</w:t>
            </w:r>
          </w:p>
        </w:tc>
        <w:tc>
          <w:tcPr>
            <w:tcW w:type="dxa" w:w="3312"/>
          </w:tcPr>
          <w:p>
            <w:pPr>
              <w:spacing w:after="40"/>
            </w:pPr>
            <w:r/>
            <w:r>
              <w:rPr>
                <w:sz w:val="19"/>
              </w:rPr>
              <w:t>ISO-8601 text</w:t>
            </w:r>
          </w:p>
        </w:tc>
      </w:tr>
      <w:tr>
        <w:tc>
          <w:tcPr>
            <w:tcW w:type="dxa" w:w="2448"/>
          </w:tcPr>
          <w:p>
            <w:pPr>
              <w:spacing w:after="40"/>
            </w:pPr>
            <w:r/>
            <w:r>
              <w:rPr>
                <w:b/>
                <w:sz w:val="19"/>
              </w:rPr>
              <w:t>Name contains 'Tech'</w:t>
            </w:r>
          </w:p>
        </w:tc>
        <w:tc>
          <w:tcPr>
            <w:tcW w:type="dxa" w:w="3600"/>
          </w:tcPr>
          <w:p>
            <w:pPr>
              <w:spacing w:after="40"/>
            </w:pPr>
            <w:r/>
            <w:r>
              <w:rPr>
                <w:rFonts w:ascii="Consolas" w:hAnsi="Consolas"/>
                <w:sz w:val="18"/>
              </w:rPr>
              <w:t>substringof('Tech',Name)</w:t>
            </w:r>
          </w:p>
        </w:tc>
        <w:tc>
          <w:tcPr>
            <w:tcW w:type="dxa" w:w="3312"/>
          </w:tcPr>
          <w:p>
            <w:pPr>
              <w:spacing w:after="40"/>
            </w:pPr>
            <w:r/>
            <w:r>
              <w:rPr>
                <w:rFonts w:ascii="Consolas" w:hAnsi="Consolas"/>
                <w:sz w:val="18"/>
              </w:rPr>
              <w:t>contains(Name,'Tech')</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fill="FBF3E5"/>
          </w:tcPr>
          <w:p>
            <w:pPr>
              <w:spacing w:after="60"/>
            </w:pPr>
            <w:r/>
            <w:r>
              <w:rPr>
                <w:b/>
                <w:color w:val="8A5613"/>
                <w:sz w:val="20"/>
              </w:rPr>
              <w:t>Why the last row matters most</w:t>
            </w:r>
          </w:p>
          <w:p>
            <w:r>
              <w:rPr>
                <w:sz w:val="20"/>
              </w:rPr>
              <w:t>"Companies with 'Tech' in the name" is the most common thing anyone asks in plain English, and it is exactly the one whose syntax differs between versions. If we wrote our query builder against V4 syntax it would look correct, compile fine, and fail against the real server. Our code already handles the V2 forms — that's what odata-v2.ts in the project is for.</w:t>
            </w:r>
          </w:p>
        </w:tc>
      </w:tr>
    </w:tbl>
    <w:p>
      <w:pPr>
        <w:spacing w:after="0"/>
      </w:pPr>
    </w:p>
    <w:p>
      <w:pPr>
        <w:pStyle w:val="Heading1"/>
      </w:pPr>
      <w:r>
        <w:t>4. The sandbox, and the API key</w:t>
      </w:r>
    </w:p>
    <w:p>
      <w:r>
        <w:t xml:space="preserve">You cannot practise against a real company's SAP system — it holds real financial data and nobody will give you access. So SAP runs the </w:t>
      </w:r>
      <w:r>
        <w:rPr>
          <w:b/>
        </w:rPr>
        <w:t>SAP Business Accelerator Hub</w:t>
      </w:r>
      <w:r>
        <w:t>: a public catalogue of their APIs with a free sandbox behind it, filled with realistic fake data.</w:t>
      </w:r>
    </w:p>
    <w:p>
      <w:r>
        <w:t>You have already got a key for it. Two things to know about how it works:</w:t>
      </w:r>
    </w:p>
    <w:p>
      <w:pPr>
        <w:pStyle w:val="ListBullet"/>
      </w:pPr>
      <w:r>
        <w:t xml:space="preserve">The key goes in a request header called </w:t>
      </w:r>
      <w:r>
        <w:rPr>
          <w:rFonts w:ascii="Consolas" w:hAnsi="Consolas"/>
          <w:color w:val="0F6E7A"/>
          <w:sz w:val="20"/>
        </w:rPr>
        <w:t>APIKey</w:t>
      </w:r>
      <w:r>
        <w:t xml:space="preserve"> — not the usual </w:t>
      </w:r>
      <w:r>
        <w:rPr>
          <w:rFonts w:ascii="Consolas" w:hAnsi="Consolas"/>
          <w:color w:val="0F6E7A"/>
          <w:sz w:val="20"/>
        </w:rPr>
        <w:t>Authorization</w:t>
      </w:r>
      <w:r>
        <w:t xml:space="preserve"> header. Getting this wrong returns a confusing error.</w:t>
      </w:r>
    </w:p>
    <w:p>
      <w:pPr>
        <w:pStyle w:val="ListBullet"/>
      </w:pPr>
      <w:r>
        <w:t xml:space="preserve">The key lives on our </w:t>
      </w:r>
      <w:r>
        <w:rPr>
          <w:b/>
        </w:rPr>
        <w:t>backend only</w:t>
      </w:r>
      <w:r>
        <w:t>. It is never sent to the browser. Anyone with the key can use your quota, and a key in frontend code is visible to everyone who opens the page.</w:t>
      </w:r>
    </w:p>
    <w:p>
      <w:r>
        <w:t>The sandbox data is small and static. It is enough to prove the concept, but nobody has generated years of sales history in it — so we scope our demo questions to what actually exists.</w:t>
      </w:r>
    </w:p>
    <w:p>
      <w:pPr>
        <w:pStyle w:val="Heading1"/>
      </w:pPr>
      <w:r>
        <w:t>5. What we are actually building</w:t>
      </w:r>
    </w:p>
    <w:p>
      <w:pPr>
        <w:pStyle w:val="Heading2"/>
      </w:pPr>
      <w:r>
        <w:t>The problem, in one sentence</w:t>
      </w:r>
    </w:p>
    <w:p>
      <w:r>
        <w:t>The person who wants the answer cannot write the query, and the person who can write the query is busy.</w:t>
      </w:r>
    </w:p>
    <w:p>
      <w:r>
        <w:t>A sales manager wants "organisations added since January, newest first." That is a thirty-second question and, today, a two-day wait for someone in IT.</w:t>
      </w:r>
    </w:p>
    <w:p>
      <w:pPr>
        <w:pStyle w:val="Heading2"/>
      </w:pPr>
      <w:r>
        <w:t>The obvious solution, and why we're not doing it</w:t>
      </w:r>
    </w:p>
    <w:p>
      <w:r>
        <w:t>The obvious move is: give the question to an AI model, have it write the OData URL, run the URL. This works in a demo and is a bad idea in a real system.</w:t>
      </w:r>
    </w:p>
    <w:p>
      <w:r>
        <w:t xml:space="preserve">The reason is that if the model writes the query string, then </w:t>
      </w:r>
      <w:r>
        <w:rPr>
          <w:b/>
        </w:rPr>
        <w:t>the model's output is the thing you execute</w:t>
      </w:r>
      <w:r>
        <w:t>. There is no point at which you can meaningfully check it. You would be inspecting a URL with string matching and hoping you thought of everything. Models also hallucinate field names that do not exist, and — the specific trap here — they will write V4 syntax because that is what most of their training data shows.</w:t>
      </w:r>
    </w:p>
    <w:p>
      <w:pPr>
        <w:pStyle w:val="Heading2"/>
      </w:pPr>
      <w:r>
        <w:t>What we do instead</w:t>
      </w:r>
    </w:p>
    <w:p>
      <w:r>
        <w:t>We put a wall in the middle. The model never writes a query. It fills in a form.</w:t>
      </w:r>
    </w:p>
    <w:p>
      <w:r>
        <w:t xml:space="preserve">Specifically, the model must return a </w:t>
      </w:r>
      <w:r>
        <w:rPr>
          <w:b/>
        </w:rPr>
        <w:t>structured query intent</w:t>
      </w:r>
      <w:r>
        <w:t>: a plain JSON object describing what was asked. Something like this:</w:t>
      </w:r>
    </w:p>
    <w:tbl>
      <w:tblPr>
        <w:tblStyle w:val="TableGrid"/>
        <w:tblW w:type="auto" w:w="0"/>
        <w:tblLook w:firstColumn="1" w:firstRow="1" w:lastColumn="0" w:lastRow="0" w:noHBand="0" w:noVBand="1" w:val="04A0"/>
      </w:tblPr>
      <w:tblGrid>
        <w:gridCol w:w="9360"/>
      </w:tblGrid>
      <w:tr>
        <w:tc>
          <w:tcPr>
            <w:tcW w:type="dxa" w:w="9360"/>
            <w:shd w:val="clear" w:fill="F2F6F7"/>
          </w:tcPr>
          <w:p>
            <w:pPr>
              <w:spacing w:after="40" w:line="240" w:lineRule="auto"/>
            </w:pPr>
            <w:r/>
            <w:r>
              <w:rPr>
                <w:rFonts w:ascii="Consolas" w:hAnsi="Consolas"/>
                <w:sz w:val="19"/>
              </w:rPr>
              <w:t>{</w:t>
            </w:r>
          </w:p>
          <w:p>
            <w:pPr>
              <w:spacing w:after="40" w:line="240" w:lineRule="auto"/>
            </w:pPr>
            <w:r>
              <w:rPr>
                <w:rFonts w:ascii="Consolas" w:hAnsi="Consolas"/>
                <w:sz w:val="19"/>
              </w:rPr>
              <w:t xml:space="preserve">  "entity": "BusinessPartner",</w:t>
            </w:r>
          </w:p>
          <w:p>
            <w:pPr>
              <w:spacing w:after="40" w:line="240" w:lineRule="auto"/>
            </w:pPr>
            <w:r>
              <w:rPr>
                <w:rFonts w:ascii="Consolas" w:hAnsi="Consolas"/>
                <w:sz w:val="19"/>
              </w:rPr>
              <w:t xml:space="preserve">  "select": ["BusinessPartner", "BusinessPartnerFullName", "CreationDate"],</w:t>
            </w:r>
          </w:p>
          <w:p>
            <w:pPr>
              <w:spacing w:after="40" w:line="240" w:lineRule="auto"/>
            </w:pPr>
            <w:r>
              <w:rPr>
                <w:rFonts w:ascii="Consolas" w:hAnsi="Consolas"/>
                <w:sz w:val="19"/>
              </w:rPr>
              <w:t xml:space="preserve">  "filters": [</w:t>
            </w:r>
          </w:p>
          <w:p>
            <w:pPr>
              <w:spacing w:after="40" w:line="240" w:lineRule="auto"/>
            </w:pPr>
            <w:r>
              <w:rPr>
                <w:rFonts w:ascii="Consolas" w:hAnsi="Consolas"/>
                <w:sz w:val="19"/>
              </w:rPr>
              <w:t xml:space="preserve">    { "field": "BusinessPartnerCategory", "op": "eq", "value": "2" },</w:t>
            </w:r>
          </w:p>
          <w:p>
            <w:pPr>
              <w:spacing w:after="40" w:line="240" w:lineRule="auto"/>
            </w:pPr>
            <w:r>
              <w:rPr>
                <w:rFonts w:ascii="Consolas" w:hAnsi="Consolas"/>
                <w:sz w:val="19"/>
              </w:rPr>
              <w:t xml:space="preserve">    { "field": "CreationDate", "op": "gte", "value": "2026-01-01" }</w:t>
            </w:r>
          </w:p>
          <w:p>
            <w:pPr>
              <w:spacing w:after="40" w:line="240" w:lineRule="auto"/>
            </w:pPr>
            <w:r>
              <w:rPr>
                <w:rFonts w:ascii="Consolas" w:hAnsi="Consolas"/>
                <w:sz w:val="19"/>
              </w:rPr>
              <w:t xml:space="preserve">  ],</w:t>
            </w:r>
          </w:p>
          <w:p>
            <w:pPr>
              <w:spacing w:after="40" w:line="240" w:lineRule="auto"/>
            </w:pPr>
            <w:r>
              <w:rPr>
                <w:rFonts w:ascii="Consolas" w:hAnsi="Consolas"/>
                <w:sz w:val="19"/>
              </w:rPr>
              <w:t xml:space="preserve">  "orderBy": { "field": "CreationDate", "direction": "desc" },</w:t>
            </w:r>
          </w:p>
          <w:p>
            <w:pPr>
              <w:spacing w:after="40" w:line="240" w:lineRule="auto"/>
            </w:pPr>
            <w:r>
              <w:rPr>
                <w:rFonts w:ascii="Consolas" w:hAnsi="Consolas"/>
                <w:sz w:val="19"/>
              </w:rPr>
              <w:t xml:space="preserve">  "top": 25</w:t>
            </w:r>
          </w:p>
          <w:p>
            <w:pPr>
              <w:spacing w:after="40" w:line="240" w:lineRule="auto"/>
            </w:pPr>
            <w:r>
              <w:rPr>
                <w:rFonts w:ascii="Consolas" w:hAnsi="Consolas"/>
                <w:sz w:val="19"/>
              </w:rPr>
              <w:t>}</w:t>
            </w:r>
          </w:p>
        </w:tc>
      </w:tr>
    </w:tbl>
    <w:p>
      <w:pPr>
        <w:spacing w:before="80"/>
      </w:pPr>
      <w:r>
        <w:rPr>
          <w:i/>
          <w:color w:val="64777F"/>
          <w:sz w:val="19"/>
        </w:rPr>
        <w:t>The model's entire job: produce this object. It never sees a URL.</w:t>
      </w:r>
    </w:p>
    <w:p>
      <w:r>
        <w:t xml:space="preserve">Then </w:t>
      </w:r>
      <w:r>
        <w:rPr>
          <w:b/>
        </w:rPr>
        <w:t>our own code</w:t>
      </w:r>
      <w:r>
        <w:t xml:space="preserve"> — ordinary, testable TypeScript, no AI involved — checks that object and turns it into a URL. The check is the important half:</w:t>
      </w:r>
    </w:p>
    <w:p>
      <w:pPr>
        <w:pStyle w:val="ListBullet"/>
      </w:pPr>
      <w:r>
        <w:t xml:space="preserve">Is every field in </w:t>
      </w:r>
      <w:r>
        <w:rPr>
          <w:rFonts w:ascii="Consolas" w:hAnsi="Consolas"/>
          <w:color w:val="0F6E7A"/>
          <w:sz w:val="20"/>
        </w:rPr>
        <w:t>select</w:t>
      </w:r>
      <w:r>
        <w:t xml:space="preserve"> and </w:t>
      </w:r>
      <w:r>
        <w:rPr>
          <w:rFonts w:ascii="Consolas" w:hAnsi="Consolas"/>
          <w:color w:val="0F6E7A"/>
          <w:sz w:val="20"/>
        </w:rPr>
        <w:t>filters</w:t>
      </w:r>
      <w:r>
        <w:t xml:space="preserve"> on our allowlist? If not, reject the whole thing.</w:t>
      </w:r>
    </w:p>
    <w:p>
      <w:pPr>
        <w:pStyle w:val="ListBullet"/>
      </w:pPr>
      <w:r>
        <w:t>Is every operator one we support? Reject anything else.</w:t>
      </w:r>
    </w:p>
    <w:p>
      <w:pPr>
        <w:pStyle w:val="ListBullet"/>
      </w:pPr>
      <w:r>
        <w:t xml:space="preserve">Is </w:t>
      </w:r>
      <w:r>
        <w:rPr>
          <w:rFonts w:ascii="Consolas" w:hAnsi="Consolas"/>
          <w:color w:val="0F6E7A"/>
          <w:sz w:val="20"/>
        </w:rPr>
        <w:t>top</w:t>
      </w:r>
      <w:r>
        <w:t xml:space="preserve"> within our limit? Clamp it.</w:t>
      </w:r>
    </w:p>
    <w:p>
      <w:pPr>
        <w:pStyle w:val="ListBullet"/>
      </w:pPr>
      <w:r>
        <w:t>Only then: build the URL, using correct V2 syntax, from values we have already validated.</w:t>
      </w:r>
    </w:p>
    <w:tbl>
      <w:tblPr>
        <w:tblStyle w:val="TableGrid"/>
        <w:tblW w:type="auto" w:w="0"/>
        <w:tblLook w:firstColumn="1" w:firstRow="1" w:lastColumn="0" w:lastRow="0" w:noHBand="0" w:noVBand="1" w:val="04A0"/>
      </w:tblPr>
      <w:tblGrid>
        <w:gridCol w:w="9360"/>
      </w:tblGrid>
      <w:tr>
        <w:tc>
          <w:tcPr>
            <w:tcW w:type="dxa" w:w="9360"/>
            <w:shd w:val="clear" w:fill="FBF3E5"/>
          </w:tcPr>
          <w:p>
            <w:pPr>
              <w:spacing w:after="60"/>
            </w:pPr>
            <w:r/>
            <w:r>
              <w:rPr>
                <w:b/>
                <w:color w:val="8A5613"/>
                <w:sz w:val="20"/>
              </w:rPr>
              <w:t>The one idea to take away from this document</w:t>
            </w:r>
          </w:p>
          <w:p>
            <w:r>
              <w:rPr>
                <w:sz w:val="20"/>
              </w:rPr>
              <w:t>The model decides WHAT the user is asking. Our code decides HOW to ask SAP, and whether the request is allowed at all. A model that misbehaves produces an invalid intent, which we reject — it does not produce a dangerous query, because it cannot produce a query at all.</w:t>
            </w:r>
          </w:p>
        </w:tc>
      </w:tr>
    </w:tbl>
    <w:p>
      <w:pPr>
        <w:spacing w:after="0"/>
      </w:pPr>
    </w:p>
    <w:p>
      <w:pPr>
        <w:pStyle w:val="Heading2"/>
      </w:pPr>
      <w:r>
        <w:t>Walking one question all the way through</w:t>
      </w:r>
    </w:p>
    <w:p>
      <w:r>
        <w:t>"Show me organisations added since January, newest first."</w:t>
      </w:r>
    </w:p>
    <w:tbl>
      <w:tblPr>
        <w:tblStyle w:val="TableGrid"/>
        <w:tblW w:type="auto" w:w="0"/>
        <w:jc w:val="left"/>
        <w:tblLook w:firstColumn="1" w:firstRow="1" w:lastColumn="0" w:lastRow="0" w:noHBand="0" w:noVBand="1" w:val="04A0"/>
      </w:tblPr>
      <w:tblGrid>
        <w:gridCol w:w="3120"/>
        <w:gridCol w:w="3120"/>
        <w:gridCol w:w="3120"/>
      </w:tblGrid>
      <w:tr>
        <w:tc>
          <w:tcPr>
            <w:tcW w:type="dxa" w:w="864"/>
            <w:shd w:val="clear" w:fill="E8EFF1"/>
          </w:tcPr>
          <w:p>
            <w:r/>
            <w:r>
              <w:rPr>
                <w:b/>
                <w:color w:val="0F6E7A"/>
                <w:sz w:val="19"/>
              </w:rPr>
              <w:t>Step</w:t>
            </w:r>
          </w:p>
        </w:tc>
        <w:tc>
          <w:tcPr>
            <w:tcW w:type="dxa" w:w="2160"/>
            <w:shd w:val="clear" w:fill="E8EFF1"/>
          </w:tcPr>
          <w:p>
            <w:r/>
            <w:r>
              <w:rPr>
                <w:b/>
                <w:color w:val="0F6E7A"/>
                <w:sz w:val="19"/>
              </w:rPr>
              <w:t>Who does it</w:t>
            </w:r>
          </w:p>
        </w:tc>
        <w:tc>
          <w:tcPr>
            <w:tcW w:type="dxa" w:w="6336"/>
            <w:shd w:val="clear" w:fill="E8EFF1"/>
          </w:tcPr>
          <w:p>
            <w:r/>
            <w:r>
              <w:rPr>
                <w:b/>
                <w:color w:val="0F6E7A"/>
                <w:sz w:val="19"/>
              </w:rPr>
              <w:t>What happens</w:t>
            </w:r>
          </w:p>
        </w:tc>
      </w:tr>
      <w:tr>
        <w:tc>
          <w:tcPr>
            <w:tcW w:type="dxa" w:w="864"/>
          </w:tcPr>
          <w:p>
            <w:pPr>
              <w:spacing w:after="40"/>
            </w:pPr>
            <w:r/>
            <w:r>
              <w:rPr>
                <w:b/>
                <w:sz w:val="19"/>
              </w:rPr>
              <w:t>1</w:t>
            </w:r>
          </w:p>
        </w:tc>
        <w:tc>
          <w:tcPr>
            <w:tcW w:type="dxa" w:w="2160"/>
          </w:tcPr>
          <w:p>
            <w:pPr>
              <w:spacing w:after="40"/>
            </w:pPr>
            <w:r/>
            <w:r>
              <w:rPr>
                <w:sz w:val="19"/>
              </w:rPr>
              <w:t>User</w:t>
            </w:r>
          </w:p>
        </w:tc>
        <w:tc>
          <w:tcPr>
            <w:tcW w:type="dxa" w:w="6336"/>
          </w:tcPr>
          <w:p>
            <w:pPr>
              <w:spacing w:after="40"/>
            </w:pPr>
            <w:r/>
            <w:r>
              <w:rPr>
                <w:sz w:val="19"/>
              </w:rPr>
              <w:t>Types the question into the web page.</w:t>
            </w:r>
          </w:p>
        </w:tc>
      </w:tr>
      <w:tr>
        <w:tc>
          <w:tcPr>
            <w:tcW w:type="dxa" w:w="864"/>
          </w:tcPr>
          <w:p>
            <w:pPr>
              <w:spacing w:after="40"/>
            </w:pPr>
            <w:r/>
            <w:r>
              <w:rPr>
                <w:b/>
                <w:sz w:val="19"/>
              </w:rPr>
              <w:t>2</w:t>
            </w:r>
          </w:p>
        </w:tc>
        <w:tc>
          <w:tcPr>
            <w:tcW w:type="dxa" w:w="2160"/>
          </w:tcPr>
          <w:p>
            <w:pPr>
              <w:spacing w:after="40"/>
            </w:pPr>
            <w:r/>
            <w:r>
              <w:rPr>
                <w:sz w:val="19"/>
              </w:rPr>
              <w:t>Our backend</w:t>
            </w:r>
          </w:p>
        </w:tc>
        <w:tc>
          <w:tcPr>
            <w:tcW w:type="dxa" w:w="6336"/>
          </w:tcPr>
          <w:p>
            <w:pPr>
              <w:spacing w:after="40"/>
            </w:pPr>
            <w:r/>
            <w:r>
              <w:rPr>
                <w:sz w:val="19"/>
              </w:rPr>
              <w:t>Sends the question to the model, along with the list of fields that exist.</w:t>
            </w:r>
          </w:p>
        </w:tc>
      </w:tr>
      <w:tr>
        <w:tc>
          <w:tcPr>
            <w:tcW w:type="dxa" w:w="864"/>
          </w:tcPr>
          <w:p>
            <w:pPr>
              <w:spacing w:after="40"/>
            </w:pPr>
            <w:r/>
            <w:r>
              <w:rPr>
                <w:b/>
                <w:sz w:val="19"/>
              </w:rPr>
              <w:t>3</w:t>
            </w:r>
          </w:p>
        </w:tc>
        <w:tc>
          <w:tcPr>
            <w:tcW w:type="dxa" w:w="2160"/>
          </w:tcPr>
          <w:p>
            <w:pPr>
              <w:spacing w:after="40"/>
            </w:pPr>
            <w:r/>
            <w:r>
              <w:rPr>
                <w:sz w:val="19"/>
              </w:rPr>
              <w:t>The model</w:t>
            </w:r>
          </w:p>
        </w:tc>
        <w:tc>
          <w:tcPr>
            <w:tcW w:type="dxa" w:w="6336"/>
          </w:tcPr>
          <w:p>
            <w:pPr>
              <w:spacing w:after="40"/>
            </w:pPr>
            <w:r/>
            <w:r>
              <w:rPr>
                <w:sz w:val="19"/>
              </w:rPr>
              <w:t>Returns the intent JSON shown above. Nothing else.</w:t>
            </w:r>
          </w:p>
        </w:tc>
      </w:tr>
      <w:tr>
        <w:tc>
          <w:tcPr>
            <w:tcW w:type="dxa" w:w="864"/>
          </w:tcPr>
          <w:p>
            <w:pPr>
              <w:spacing w:after="40"/>
            </w:pPr>
            <w:r/>
            <w:r>
              <w:rPr>
                <w:b/>
                <w:sz w:val="19"/>
              </w:rPr>
              <w:t>4</w:t>
            </w:r>
          </w:p>
        </w:tc>
        <w:tc>
          <w:tcPr>
            <w:tcW w:type="dxa" w:w="2160"/>
          </w:tcPr>
          <w:p>
            <w:pPr>
              <w:spacing w:after="40"/>
            </w:pPr>
            <w:r/>
            <w:r>
              <w:rPr>
                <w:sz w:val="19"/>
              </w:rPr>
              <w:t>Our validator</w:t>
            </w:r>
          </w:p>
        </w:tc>
        <w:tc>
          <w:tcPr>
            <w:tcW w:type="dxa" w:w="6336"/>
          </w:tcPr>
          <w:p>
            <w:pPr>
              <w:spacing w:after="40"/>
            </w:pPr>
            <w:r/>
            <w:r>
              <w:rPr>
                <w:sz w:val="19"/>
              </w:rPr>
              <w:t>Confirms every field and operator is allowed. Rejects the request if not.</w:t>
            </w:r>
          </w:p>
        </w:tc>
      </w:tr>
      <w:tr>
        <w:tc>
          <w:tcPr>
            <w:tcW w:type="dxa" w:w="864"/>
          </w:tcPr>
          <w:p>
            <w:pPr>
              <w:spacing w:after="40"/>
            </w:pPr>
            <w:r/>
            <w:r>
              <w:rPr>
                <w:b/>
                <w:sz w:val="19"/>
              </w:rPr>
              <w:t>5</w:t>
            </w:r>
          </w:p>
        </w:tc>
        <w:tc>
          <w:tcPr>
            <w:tcW w:type="dxa" w:w="2160"/>
          </w:tcPr>
          <w:p>
            <w:pPr>
              <w:spacing w:after="40"/>
            </w:pPr>
            <w:r/>
            <w:r>
              <w:rPr>
                <w:sz w:val="19"/>
              </w:rPr>
              <w:t>Our compiler</w:t>
            </w:r>
          </w:p>
        </w:tc>
        <w:tc>
          <w:tcPr>
            <w:tcW w:type="dxa" w:w="6336"/>
          </w:tcPr>
          <w:p>
            <w:pPr>
              <w:spacing w:after="40"/>
            </w:pPr>
            <w:r/>
            <w:r>
              <w:rPr>
                <w:sz w:val="19"/>
              </w:rPr>
              <w:t>Builds the OData URL, using V2 syntax.</w:t>
            </w:r>
          </w:p>
        </w:tc>
      </w:tr>
      <w:tr>
        <w:tc>
          <w:tcPr>
            <w:tcW w:type="dxa" w:w="864"/>
          </w:tcPr>
          <w:p>
            <w:pPr>
              <w:spacing w:after="40"/>
            </w:pPr>
            <w:r/>
            <w:r>
              <w:rPr>
                <w:b/>
                <w:sz w:val="19"/>
              </w:rPr>
              <w:t>6</w:t>
            </w:r>
          </w:p>
        </w:tc>
        <w:tc>
          <w:tcPr>
            <w:tcW w:type="dxa" w:w="2160"/>
          </w:tcPr>
          <w:p>
            <w:pPr>
              <w:spacing w:after="40"/>
            </w:pPr>
            <w:r/>
            <w:r>
              <w:rPr>
                <w:sz w:val="19"/>
              </w:rPr>
              <w:t>SAP</w:t>
            </w:r>
          </w:p>
        </w:tc>
        <w:tc>
          <w:tcPr>
            <w:tcW w:type="dxa" w:w="6336"/>
          </w:tcPr>
          <w:p>
            <w:pPr>
              <w:spacing w:after="40"/>
            </w:pPr>
            <w:r/>
            <w:r>
              <w:rPr>
                <w:sz w:val="19"/>
              </w:rPr>
              <w:t>Runs the query, returns rows wrapped in { d: { results: [...] } }.</w:t>
            </w:r>
          </w:p>
        </w:tc>
      </w:tr>
      <w:tr>
        <w:tc>
          <w:tcPr>
            <w:tcW w:type="dxa" w:w="864"/>
          </w:tcPr>
          <w:p>
            <w:pPr>
              <w:spacing w:after="40"/>
            </w:pPr>
            <w:r/>
            <w:r>
              <w:rPr>
                <w:b/>
                <w:sz w:val="19"/>
              </w:rPr>
              <w:t>7</w:t>
            </w:r>
          </w:p>
        </w:tc>
        <w:tc>
          <w:tcPr>
            <w:tcW w:type="dxa" w:w="2160"/>
          </w:tcPr>
          <w:p>
            <w:pPr>
              <w:spacing w:after="40"/>
            </w:pPr>
            <w:r/>
            <w:r>
              <w:rPr>
                <w:sz w:val="19"/>
              </w:rPr>
              <w:t>Our backend</w:t>
            </w:r>
          </w:p>
        </w:tc>
        <w:tc>
          <w:tcPr>
            <w:tcW w:type="dxa" w:w="6336"/>
          </w:tcPr>
          <w:p>
            <w:pPr>
              <w:spacing w:after="40"/>
            </w:pPr>
            <w:r/>
            <w:r>
              <w:rPr>
                <w:sz w:val="19"/>
              </w:rPr>
              <w:t>Unwraps it, converts /Date(...)/ values to real dates, tidies the fields.</w:t>
            </w:r>
          </w:p>
        </w:tc>
      </w:tr>
      <w:tr>
        <w:tc>
          <w:tcPr>
            <w:tcW w:type="dxa" w:w="864"/>
          </w:tcPr>
          <w:p>
            <w:pPr>
              <w:spacing w:after="40"/>
            </w:pPr>
            <w:r/>
            <w:r>
              <w:rPr>
                <w:b/>
                <w:sz w:val="19"/>
              </w:rPr>
              <w:t>8</w:t>
            </w:r>
          </w:p>
        </w:tc>
        <w:tc>
          <w:tcPr>
            <w:tcW w:type="dxa" w:w="2160"/>
          </w:tcPr>
          <w:p>
            <w:pPr>
              <w:spacing w:after="40"/>
            </w:pPr>
            <w:r/>
            <w:r>
              <w:rPr>
                <w:sz w:val="19"/>
              </w:rPr>
              <w:t>The web page</w:t>
            </w:r>
          </w:p>
        </w:tc>
        <w:tc>
          <w:tcPr>
            <w:tcW w:type="dxa" w:w="6336"/>
          </w:tcPr>
          <w:p>
            <w:pPr>
              <w:spacing w:after="40"/>
            </w:pPr>
            <w:r/>
            <w:r>
              <w:rPr>
                <w:sz w:val="19"/>
              </w:rPr>
              <w:t>Shows a table — and shows the generated URL underneath it.</w:t>
            </w:r>
          </w:p>
        </w:tc>
      </w:tr>
    </w:tbl>
    <w:p>
      <w:pPr>
        <w:spacing w:after="0"/>
      </w:pPr>
    </w:p>
    <w:p>
      <w:r>
        <w:t>Step 8 is a product decision, not a debugging aid. The user can always see exactly what was asked on their behalf. That is what makes the system trustworthy rather than a black box, and it is the thing worth pointing at when you show this project to someone.</w:t>
      </w:r>
    </w:p>
    <w:p>
      <w:pPr>
        <w:pStyle w:val="Heading1"/>
      </w:pPr>
      <w:r>
        <w:t>6. The pieces of our system</w:t>
      </w:r>
    </w:p>
    <w:p>
      <w:r>
        <w:t>Some plain definitions for the parts you'll see in the repo:</w:t>
      </w:r>
    </w:p>
    <w:tbl>
      <w:tblPr>
        <w:tblStyle w:val="TableGrid"/>
        <w:tblW w:type="auto" w:w="0"/>
        <w:jc w:val="left"/>
        <w:tblLook w:firstColumn="1" w:firstRow="1" w:lastColumn="0" w:lastRow="0" w:noHBand="0" w:noVBand="1" w:val="04A0"/>
      </w:tblPr>
      <w:tblGrid>
        <w:gridCol w:w="4680"/>
        <w:gridCol w:w="4680"/>
      </w:tblGrid>
      <w:tr>
        <w:tc>
          <w:tcPr>
            <w:tcW w:type="dxa" w:w="2160"/>
            <w:shd w:val="clear" w:fill="E8EFF1"/>
          </w:tcPr>
          <w:p>
            <w:r/>
            <w:r>
              <w:rPr>
                <w:b/>
                <w:color w:val="0F6E7A"/>
                <w:sz w:val="19"/>
              </w:rPr>
              <w:t>Piece</w:t>
            </w:r>
          </w:p>
        </w:tc>
        <w:tc>
          <w:tcPr>
            <w:tcW w:type="dxa" w:w="7200"/>
            <w:shd w:val="clear" w:fill="E8EFF1"/>
          </w:tcPr>
          <w:p>
            <w:r/>
            <w:r>
              <w:rPr>
                <w:b/>
                <w:color w:val="0F6E7A"/>
                <w:sz w:val="19"/>
              </w:rPr>
              <w:t>What it is and why it's there</w:t>
            </w:r>
          </w:p>
        </w:tc>
      </w:tr>
      <w:tr>
        <w:tc>
          <w:tcPr>
            <w:tcW w:type="dxa" w:w="2160"/>
          </w:tcPr>
          <w:p>
            <w:pPr>
              <w:spacing w:after="40"/>
            </w:pPr>
            <w:r/>
            <w:r>
              <w:rPr>
                <w:b/>
                <w:sz w:val="19"/>
              </w:rPr>
              <w:t>Frontend</w:t>
            </w:r>
          </w:p>
        </w:tc>
        <w:tc>
          <w:tcPr>
            <w:tcW w:type="dxa" w:w="7200"/>
          </w:tcPr>
          <w:p>
            <w:pPr>
              <w:spacing w:after="40"/>
            </w:pPr>
            <w:r/>
            <w:r>
              <w:rPr>
                <w:sz w:val="19"/>
              </w:rPr>
              <w:t>The web page you look at. Built with Next.js and React. It knows nothing about SAP — it only talks to our backend.</w:t>
            </w:r>
          </w:p>
        </w:tc>
      </w:tr>
      <w:tr>
        <w:tc>
          <w:tcPr>
            <w:tcW w:type="dxa" w:w="2160"/>
          </w:tcPr>
          <w:p>
            <w:pPr>
              <w:spacing w:after="40"/>
            </w:pPr>
            <w:r/>
            <w:r>
              <w:rPr>
                <w:b/>
                <w:sz w:val="19"/>
              </w:rPr>
              <w:t>Backend</w:t>
            </w:r>
          </w:p>
        </w:tc>
        <w:tc>
          <w:tcPr>
            <w:tcW w:type="dxa" w:w="7200"/>
          </w:tcPr>
          <w:p>
            <w:pPr>
              <w:spacing w:after="40"/>
            </w:pPr>
            <w:r/>
            <w:r>
              <w:rPr>
                <w:sz w:val="19"/>
              </w:rPr>
              <w:t>A server we control, built with NestJS. It holds the API key, calls SAP, and validates everything. It exists mainly so the key never reaches the browser.</w:t>
            </w:r>
          </w:p>
        </w:tc>
      </w:tr>
      <w:tr>
        <w:tc>
          <w:tcPr>
            <w:tcW w:type="dxa" w:w="2160"/>
          </w:tcPr>
          <w:p>
            <w:pPr>
              <w:spacing w:after="40"/>
            </w:pPr>
            <w:r/>
            <w:r>
              <w:rPr>
                <w:b/>
                <w:sz w:val="19"/>
              </w:rPr>
              <w:t>Monorepo</w:t>
            </w:r>
          </w:p>
        </w:tc>
        <w:tc>
          <w:tcPr>
            <w:tcW w:type="dxa" w:w="7200"/>
          </w:tcPr>
          <w:p>
            <w:pPr>
              <w:spacing w:after="40"/>
            </w:pPr>
            <w:r/>
            <w:r>
              <w:rPr>
                <w:sz w:val="19"/>
              </w:rPr>
              <w:t>One folder holding both apps plus shared code, managed with pnpm. Lets the frontend and backend share the same type definitions instead of duplicating them.</w:t>
            </w:r>
          </w:p>
        </w:tc>
      </w:tr>
      <w:tr>
        <w:tc>
          <w:tcPr>
            <w:tcW w:type="dxa" w:w="2160"/>
          </w:tcPr>
          <w:p>
            <w:pPr>
              <w:spacing w:after="40"/>
            </w:pPr>
            <w:r/>
            <w:r>
              <w:rPr>
                <w:b/>
                <w:sz w:val="19"/>
              </w:rPr>
              <w:t>packages/shared</w:t>
            </w:r>
          </w:p>
        </w:tc>
        <w:tc>
          <w:tcPr>
            <w:tcW w:type="dxa" w:w="7200"/>
          </w:tcPr>
          <w:p>
            <w:pPr>
              <w:spacing w:after="40"/>
            </w:pPr>
            <w:r/>
            <w:r>
              <w:rPr>
                <w:sz w:val="19"/>
              </w:rPr>
              <w:t>Type definitions both sides import. The query intent schema will live here, so the model, the validator, and the UI all agree on one shape.</w:t>
            </w:r>
          </w:p>
        </w:tc>
      </w:tr>
      <w:tr>
        <w:tc>
          <w:tcPr>
            <w:tcW w:type="dxa" w:w="2160"/>
          </w:tcPr>
          <w:p>
            <w:pPr>
              <w:spacing w:after="40"/>
            </w:pPr>
            <w:r/>
            <w:r>
              <w:rPr>
                <w:b/>
                <w:sz w:val="19"/>
              </w:rPr>
              <w:t>OData V2 helpers</w:t>
            </w:r>
          </w:p>
        </w:tc>
        <w:tc>
          <w:tcPr>
            <w:tcW w:type="dxa" w:w="7200"/>
          </w:tcPr>
          <w:p>
            <w:pPr>
              <w:spacing w:after="40"/>
            </w:pPr>
            <w:r/>
            <w:r>
              <w:rPr>
                <w:sz w:val="19"/>
              </w:rPr>
              <w:t>A small file handling SAP's older-dialect quirks: unwrapping responses and parsing its unusual date format.</w:t>
            </w:r>
          </w:p>
        </w:tc>
      </w:tr>
    </w:tbl>
    <w:p>
      <w:pPr>
        <w:spacing w:after="0"/>
      </w:pPr>
    </w:p>
    <w:p>
      <w:r>
        <w:t>The reason the backend exists at all is worth restating, because it is the most common beginner question: the browser could technically call SAP directly, but then the API key would be in code that anyone can read. Any request that needs a secret has to go through a server you control.</w:t>
      </w:r>
    </w:p>
    <w:p>
      <w:pPr>
        <w:pStyle w:val="Heading1"/>
      </w:pPr>
      <w:r>
        <w:t>7. Glossary</w:t>
      </w:r>
    </w:p>
    <w:tbl>
      <w:tblPr>
        <w:tblStyle w:val="TableGrid"/>
        <w:tblW w:type="auto" w:w="0"/>
        <w:jc w:val="left"/>
        <w:tblLook w:firstColumn="1" w:firstRow="1" w:lastColumn="0" w:lastRow="0" w:noHBand="0" w:noVBand="1" w:val="04A0"/>
      </w:tblPr>
      <w:tblGrid>
        <w:gridCol w:w="4680"/>
        <w:gridCol w:w="4680"/>
      </w:tblGrid>
      <w:tr>
        <w:tc>
          <w:tcPr>
            <w:tcW w:type="dxa" w:w="2448"/>
            <w:shd w:val="clear" w:fill="E8EFF1"/>
          </w:tcPr>
          <w:p>
            <w:r/>
            <w:r>
              <w:rPr>
                <w:b/>
                <w:color w:val="0F6E7A"/>
                <w:sz w:val="19"/>
              </w:rPr>
              <w:t>Term</w:t>
            </w:r>
          </w:p>
        </w:tc>
        <w:tc>
          <w:tcPr>
            <w:tcW w:type="dxa" w:w="6912"/>
            <w:shd w:val="clear" w:fill="E8EFF1"/>
          </w:tcPr>
          <w:p>
            <w:r/>
            <w:r>
              <w:rPr>
                <w:b/>
                <w:color w:val="0F6E7A"/>
                <w:sz w:val="19"/>
              </w:rPr>
              <w:t>Meaning</w:t>
            </w:r>
          </w:p>
        </w:tc>
      </w:tr>
      <w:tr>
        <w:tc>
          <w:tcPr>
            <w:tcW w:type="dxa" w:w="2448"/>
          </w:tcPr>
          <w:p>
            <w:pPr>
              <w:spacing w:after="40"/>
            </w:pPr>
            <w:r/>
            <w:r>
              <w:rPr>
                <w:b/>
                <w:sz w:val="19"/>
              </w:rPr>
              <w:t>API</w:t>
            </w:r>
          </w:p>
        </w:tc>
        <w:tc>
          <w:tcPr>
            <w:tcW w:type="dxa" w:w="6912"/>
          </w:tcPr>
          <w:p>
            <w:pPr>
              <w:spacing w:after="40"/>
            </w:pPr>
            <w:r/>
            <w:r>
              <w:rPr>
                <w:sz w:val="19"/>
              </w:rPr>
              <w:t>A way for one program to request data from another over the internet.</w:t>
            </w:r>
          </w:p>
        </w:tc>
      </w:tr>
      <w:tr>
        <w:tc>
          <w:tcPr>
            <w:tcW w:type="dxa" w:w="2448"/>
          </w:tcPr>
          <w:p>
            <w:pPr>
              <w:spacing w:after="40"/>
            </w:pPr>
            <w:r/>
            <w:r>
              <w:rPr>
                <w:b/>
                <w:sz w:val="19"/>
              </w:rPr>
              <w:t>Business Partner</w:t>
            </w:r>
          </w:p>
        </w:tc>
        <w:tc>
          <w:tcPr>
            <w:tcW w:type="dxa" w:w="6912"/>
          </w:tcPr>
          <w:p>
            <w:pPr>
              <w:spacing w:after="40"/>
            </w:pPr>
            <w:r/>
            <w:r>
              <w:rPr>
                <w:sz w:val="19"/>
              </w:rPr>
              <w:t>SAP's unified record for any person or organisation the business deals with.</w:t>
            </w:r>
          </w:p>
        </w:tc>
      </w:tr>
      <w:tr>
        <w:tc>
          <w:tcPr>
            <w:tcW w:type="dxa" w:w="2448"/>
          </w:tcPr>
          <w:p>
            <w:pPr>
              <w:spacing w:after="40"/>
            </w:pPr>
            <w:r/>
            <w:r>
              <w:rPr>
                <w:b/>
                <w:sz w:val="19"/>
              </w:rPr>
              <w:t>Endpoint</w:t>
            </w:r>
          </w:p>
        </w:tc>
        <w:tc>
          <w:tcPr>
            <w:tcW w:type="dxa" w:w="6912"/>
          </w:tcPr>
          <w:p>
            <w:pPr>
              <w:spacing w:after="40"/>
            </w:pPr>
            <w:r/>
            <w:r>
              <w:rPr>
                <w:sz w:val="19"/>
              </w:rPr>
              <w:t>One specific URL an API answers on.</w:t>
            </w:r>
          </w:p>
        </w:tc>
      </w:tr>
      <w:tr>
        <w:tc>
          <w:tcPr>
            <w:tcW w:type="dxa" w:w="2448"/>
          </w:tcPr>
          <w:p>
            <w:pPr>
              <w:spacing w:after="40"/>
            </w:pPr>
            <w:r/>
            <w:r>
              <w:rPr>
                <w:b/>
                <w:sz w:val="19"/>
              </w:rPr>
              <w:t>Entity set</w:t>
            </w:r>
          </w:p>
        </w:tc>
        <w:tc>
          <w:tcPr>
            <w:tcW w:type="dxa" w:w="6912"/>
          </w:tcPr>
          <w:p>
            <w:pPr>
              <w:spacing w:after="40"/>
            </w:pPr>
            <w:r/>
            <w:r>
              <w:rPr>
                <w:sz w:val="19"/>
              </w:rPr>
              <w:t>An OData collection of records. Roughly a table. Ours is A_BusinessPartner.</w:t>
            </w:r>
          </w:p>
        </w:tc>
      </w:tr>
      <w:tr>
        <w:tc>
          <w:tcPr>
            <w:tcW w:type="dxa" w:w="2448"/>
          </w:tcPr>
          <w:p>
            <w:pPr>
              <w:spacing w:after="40"/>
            </w:pPr>
            <w:r/>
            <w:r>
              <w:rPr>
                <w:b/>
                <w:sz w:val="19"/>
              </w:rPr>
              <w:t>ERP</w:t>
            </w:r>
          </w:p>
        </w:tc>
        <w:tc>
          <w:tcPr>
            <w:tcW w:type="dxa" w:w="6912"/>
          </w:tcPr>
          <w:p>
            <w:pPr>
              <w:spacing w:after="40"/>
            </w:pPr>
            <w:r/>
            <w:r>
              <w:rPr>
                <w:sz w:val="19"/>
              </w:rPr>
              <w:t>Enterprise Resource Planning — one system running finance, inventory, HR and more on shared data.</w:t>
            </w:r>
          </w:p>
        </w:tc>
      </w:tr>
      <w:tr>
        <w:tc>
          <w:tcPr>
            <w:tcW w:type="dxa" w:w="2448"/>
          </w:tcPr>
          <w:p>
            <w:pPr>
              <w:spacing w:after="40"/>
            </w:pPr>
            <w:r/>
            <w:r>
              <w:rPr>
                <w:b/>
                <w:sz w:val="19"/>
              </w:rPr>
              <w:t>JSON</w:t>
            </w:r>
          </w:p>
        </w:tc>
        <w:tc>
          <w:tcPr>
            <w:tcW w:type="dxa" w:w="6912"/>
          </w:tcPr>
          <w:p>
            <w:pPr>
              <w:spacing w:after="40"/>
            </w:pPr>
            <w:r/>
            <w:r>
              <w:rPr>
                <w:sz w:val="19"/>
              </w:rPr>
              <w:t>The text format APIs return data in. Nested keys and values.</w:t>
            </w:r>
          </w:p>
        </w:tc>
      </w:tr>
      <w:tr>
        <w:tc>
          <w:tcPr>
            <w:tcW w:type="dxa" w:w="2448"/>
          </w:tcPr>
          <w:p>
            <w:pPr>
              <w:spacing w:after="40"/>
            </w:pPr>
            <w:r/>
            <w:r>
              <w:rPr>
                <w:b/>
                <w:sz w:val="19"/>
              </w:rPr>
              <w:t>LLM</w:t>
            </w:r>
          </w:p>
        </w:tc>
        <w:tc>
          <w:tcPr>
            <w:tcW w:type="dxa" w:w="6912"/>
          </w:tcPr>
          <w:p>
            <w:pPr>
              <w:spacing w:after="40"/>
            </w:pPr>
            <w:r/>
            <w:r>
              <w:rPr>
                <w:sz w:val="19"/>
              </w:rPr>
              <w:t>Large Language Model. The AI that reads the question and fills in the intent.</w:t>
            </w:r>
          </w:p>
        </w:tc>
      </w:tr>
      <w:tr>
        <w:tc>
          <w:tcPr>
            <w:tcW w:type="dxa" w:w="2448"/>
          </w:tcPr>
          <w:p>
            <w:pPr>
              <w:spacing w:after="40"/>
            </w:pPr>
            <w:r/>
            <w:r>
              <w:rPr>
                <w:b/>
                <w:sz w:val="19"/>
              </w:rPr>
              <w:t>OData</w:t>
            </w:r>
          </w:p>
        </w:tc>
        <w:tc>
          <w:tcPr>
            <w:tcW w:type="dxa" w:w="6912"/>
          </w:tcPr>
          <w:p>
            <w:pPr>
              <w:spacing w:after="40"/>
            </w:pPr>
            <w:r/>
            <w:r>
              <w:rPr>
                <w:sz w:val="19"/>
              </w:rPr>
              <w:t>The web query protocol SAP uses. Filtering and sorting expressed in the URL.</w:t>
            </w:r>
          </w:p>
        </w:tc>
      </w:tr>
      <w:tr>
        <w:tc>
          <w:tcPr>
            <w:tcW w:type="dxa" w:w="2448"/>
          </w:tcPr>
          <w:p>
            <w:pPr>
              <w:spacing w:after="40"/>
            </w:pPr>
            <w:r/>
            <w:r>
              <w:rPr>
                <w:b/>
                <w:sz w:val="19"/>
              </w:rPr>
              <w:t>Query intent</w:t>
            </w:r>
          </w:p>
        </w:tc>
        <w:tc>
          <w:tcPr>
            <w:tcW w:type="dxa" w:w="6912"/>
          </w:tcPr>
          <w:p>
            <w:pPr>
              <w:spacing w:after="40"/>
            </w:pPr>
            <w:r/>
            <w:r>
              <w:rPr>
                <w:sz w:val="19"/>
              </w:rPr>
              <w:t>Our structured JSON description of what a user asked. The model's only output.</w:t>
            </w:r>
          </w:p>
        </w:tc>
      </w:tr>
      <w:tr>
        <w:tc>
          <w:tcPr>
            <w:tcW w:type="dxa" w:w="2448"/>
          </w:tcPr>
          <w:p>
            <w:pPr>
              <w:spacing w:after="40"/>
            </w:pPr>
            <w:r/>
            <w:r>
              <w:rPr>
                <w:b/>
                <w:sz w:val="19"/>
              </w:rPr>
              <w:t>S/4HANA</w:t>
            </w:r>
          </w:p>
        </w:tc>
        <w:tc>
          <w:tcPr>
            <w:tcW w:type="dxa" w:w="6912"/>
          </w:tcPr>
          <w:p>
            <w:pPr>
              <w:spacing w:after="40"/>
            </w:pPr>
            <w:r/>
            <w:r>
              <w:rPr>
                <w:sz w:val="19"/>
              </w:rPr>
              <w:t>SAP's current ERP generation.</w:t>
            </w:r>
          </w:p>
        </w:tc>
      </w:tr>
      <w:tr>
        <w:tc>
          <w:tcPr>
            <w:tcW w:type="dxa" w:w="2448"/>
          </w:tcPr>
          <w:p>
            <w:pPr>
              <w:spacing w:after="40"/>
            </w:pPr>
            <w:r/>
            <w:r>
              <w:rPr>
                <w:b/>
                <w:sz w:val="19"/>
              </w:rPr>
              <w:t>Sandbox</w:t>
            </w:r>
          </w:p>
        </w:tc>
        <w:tc>
          <w:tcPr>
            <w:tcW w:type="dxa" w:w="6912"/>
          </w:tcPr>
          <w:p>
            <w:pPr>
              <w:spacing w:after="40"/>
            </w:pPr>
            <w:r/>
            <w:r>
              <w:rPr>
                <w:sz w:val="19"/>
              </w:rPr>
              <w:t>SAP's free practice server with fake data.</w:t>
            </w:r>
          </w:p>
        </w:tc>
      </w:tr>
      <w:tr>
        <w:tc>
          <w:tcPr>
            <w:tcW w:type="dxa" w:w="2448"/>
          </w:tcPr>
          <w:p>
            <w:pPr>
              <w:spacing w:after="40"/>
            </w:pPr>
            <w:r/>
            <w:r>
              <w:rPr>
                <w:b/>
                <w:sz w:val="19"/>
              </w:rPr>
              <w:t>Schema</w:t>
            </w:r>
          </w:p>
        </w:tc>
        <w:tc>
          <w:tcPr>
            <w:tcW w:type="dxa" w:w="6912"/>
          </w:tcPr>
          <w:p>
            <w:pPr>
              <w:spacing w:after="40"/>
            </w:pPr>
            <w:r/>
            <w:r>
              <w:rPr>
                <w:sz w:val="19"/>
              </w:rPr>
              <w:t>A definition of what shape data must have. We use Zod to describe and enforce ours.</w:t>
            </w:r>
          </w:p>
        </w:tc>
      </w:tr>
      <w:tr>
        <w:tc>
          <w:tcPr>
            <w:tcW w:type="dxa" w:w="2448"/>
          </w:tcPr>
          <w:p>
            <w:pPr>
              <w:spacing w:after="40"/>
            </w:pPr>
            <w:r/>
            <w:r>
              <w:rPr>
                <w:b/>
                <w:sz w:val="19"/>
              </w:rPr>
              <w:t>Structured outputs</w:t>
            </w:r>
          </w:p>
        </w:tc>
        <w:tc>
          <w:tcPr>
            <w:tcW w:type="dxa" w:w="6912"/>
          </w:tcPr>
          <w:p>
            <w:pPr>
              <w:spacing w:after="40"/>
            </w:pPr>
            <w:r/>
            <w:r>
              <w:rPr>
                <w:sz w:val="19"/>
              </w:rPr>
              <w:t>An LLM feature forcing the model to answer in a given JSON shape.</w:t>
            </w:r>
          </w:p>
        </w:tc>
      </w:tr>
      <w:tr>
        <w:tc>
          <w:tcPr>
            <w:tcW w:type="dxa" w:w="2448"/>
          </w:tcPr>
          <w:p>
            <w:pPr>
              <w:spacing w:after="40"/>
            </w:pPr>
            <w:r/>
            <w:r>
              <w:rPr>
                <w:b/>
                <w:sz w:val="19"/>
              </w:rPr>
              <w:t>System query options</w:t>
            </w:r>
          </w:p>
        </w:tc>
        <w:tc>
          <w:tcPr>
            <w:tcW w:type="dxa" w:w="6912"/>
          </w:tcPr>
          <w:p>
            <w:pPr>
              <w:spacing w:after="40"/>
            </w:pPr>
            <w:r/>
            <w:r>
              <w:rPr>
                <w:sz w:val="19"/>
              </w:rPr>
              <w:t>The $-prefixed OData parameters: $filter, $select, $top, $orderby, and friends.</w:t>
            </w:r>
          </w:p>
        </w:tc>
      </w:tr>
    </w:tbl>
    <w:p>
      <w:pPr>
        <w:spacing w:after="0"/>
      </w:pPr>
    </w:p>
    <w:p>
      <w:pPr>
        <w:pStyle w:val="Heading1"/>
      </w:pPr>
      <w:r>
        <w:t>8. Where to learn more</w:t>
      </w:r>
    </w:p>
    <w:p>
      <w:pPr>
        <w:pStyle w:val="Heading2"/>
      </w:pPr>
      <w:r>
        <w:t>Start here</w:t>
      </w:r>
    </w:p>
    <w:tbl>
      <w:tblPr>
        <w:tblStyle w:val="TableGrid"/>
        <w:tblW w:type="auto" w:w="0"/>
        <w:jc w:val="left"/>
        <w:tblLook w:firstColumn="1" w:firstRow="1" w:lastColumn="0" w:lastRow="0" w:noHBand="0" w:noVBand="1" w:val="04A0"/>
      </w:tblPr>
      <w:tblGrid>
        <w:gridCol w:w="3120"/>
        <w:gridCol w:w="3120"/>
        <w:gridCol w:w="3120"/>
      </w:tblGrid>
      <w:tr>
        <w:tc>
          <w:tcPr>
            <w:tcW w:type="dxa" w:w="2736"/>
            <w:shd w:val="clear" w:fill="E8EFF1"/>
          </w:tcPr>
          <w:p>
            <w:r/>
            <w:r>
              <w:rPr>
                <w:b/>
                <w:color w:val="0F6E7A"/>
                <w:sz w:val="19"/>
              </w:rPr>
              <w:t>Resource</w:t>
            </w:r>
          </w:p>
        </w:tc>
        <w:tc>
          <w:tcPr>
            <w:tcW w:type="dxa" w:w="4320"/>
            <w:shd w:val="clear" w:fill="E8EFF1"/>
          </w:tcPr>
          <w:p>
            <w:r/>
            <w:r>
              <w:rPr>
                <w:b/>
                <w:color w:val="0F6E7A"/>
                <w:sz w:val="19"/>
              </w:rPr>
              <w:t>Why</w:t>
            </w:r>
          </w:p>
        </w:tc>
        <w:tc>
          <w:tcPr>
            <w:tcW w:type="dxa" w:w="2304"/>
            <w:shd w:val="clear" w:fill="E8EFF1"/>
          </w:tcPr>
          <w:p>
            <w:r/>
            <w:r>
              <w:rPr>
                <w:b/>
                <w:color w:val="0F6E7A"/>
                <w:sz w:val="19"/>
              </w:rPr>
              <w:t>Link</w:t>
            </w:r>
          </w:p>
        </w:tc>
      </w:tr>
      <w:tr>
        <w:tc>
          <w:tcPr>
            <w:tcW w:type="dxa" w:w="2736"/>
          </w:tcPr>
          <w:p>
            <w:pPr>
              <w:spacing w:after="40"/>
            </w:pPr>
            <w:r/>
            <w:r>
              <w:rPr>
                <w:b/>
                <w:sz w:val="19"/>
              </w:rPr>
              <w:t>SAP Business Accelerator Hub</w:t>
            </w:r>
          </w:p>
        </w:tc>
        <w:tc>
          <w:tcPr>
            <w:tcW w:type="dxa" w:w="4320"/>
          </w:tcPr>
          <w:p>
            <w:pPr>
              <w:spacing w:after="40"/>
            </w:pPr>
            <w:r/>
            <w:r>
              <w:rPr>
                <w:sz w:val="19"/>
              </w:rPr>
              <w:t>Where your API key comes from. Browse the catalogue.</w:t>
            </w:r>
          </w:p>
        </w:tc>
        <w:tc>
          <w:tcPr>
            <w:tcW w:type="dxa" w:w="2304"/>
          </w:tcPr>
          <w:p>
            <w:pPr>
              <w:spacing w:after="40"/>
            </w:pPr>
            <w:r>
              <w:rPr>
                <w:sz w:val="19"/>
              </w:rPr>
            </w:r>
            <w:hyperlink r:id="rId9">
              <w:r>
                <w:rPr>
                  <w:color w:val="0F6E7A"/>
                  <w:u w:val="single"/>
                </w:rPr>
                <w:t xml:space="preserve">api.sap.com</w:t>
              </w:r>
            </w:hyperlink>
          </w:p>
        </w:tc>
      </w:tr>
      <w:tr>
        <w:tc>
          <w:tcPr>
            <w:tcW w:type="dxa" w:w="2736"/>
          </w:tcPr>
          <w:p>
            <w:pPr>
              <w:spacing w:after="40"/>
            </w:pPr>
            <w:r/>
            <w:r>
              <w:rPr>
                <w:b/>
                <w:sz w:val="19"/>
              </w:rPr>
              <w:t>Business Partner API page</w:t>
            </w:r>
          </w:p>
        </w:tc>
        <w:tc>
          <w:tcPr>
            <w:tcW w:type="dxa" w:w="4320"/>
          </w:tcPr>
          <w:p>
            <w:pPr>
              <w:spacing w:after="40"/>
            </w:pPr>
            <w:r/>
            <w:r>
              <w:rPr>
                <w:sz w:val="19"/>
              </w:rPr>
              <w:t>The exact API we call. Has every field and a live tester.</w:t>
            </w:r>
          </w:p>
        </w:tc>
        <w:tc>
          <w:tcPr>
            <w:tcW w:type="dxa" w:w="2304"/>
          </w:tcPr>
          <w:p>
            <w:pPr>
              <w:spacing w:after="40"/>
            </w:pPr>
            <w:r>
              <w:rPr>
                <w:sz w:val="19"/>
              </w:rPr>
            </w:r>
            <w:hyperlink r:id="rId10">
              <w:r>
                <w:rPr>
                  <w:color w:val="0F6E7A"/>
                  <w:u w:val="single"/>
                </w:rPr>
                <w:t xml:space="preserve">View API</w:t>
              </w:r>
            </w:hyperlink>
          </w:p>
        </w:tc>
      </w:tr>
      <w:tr>
        <w:tc>
          <w:tcPr>
            <w:tcW w:type="dxa" w:w="2736"/>
          </w:tcPr>
          <w:p>
            <w:pPr>
              <w:spacing w:after="40"/>
            </w:pPr>
            <w:r/>
            <w:r>
              <w:rPr>
                <w:b/>
                <w:sz w:val="19"/>
              </w:rPr>
              <w:t>ERP explained</w:t>
            </w:r>
          </w:p>
        </w:tc>
        <w:tc>
          <w:tcPr>
            <w:tcW w:type="dxa" w:w="4320"/>
          </w:tcPr>
          <w:p>
            <w:pPr>
              <w:spacing w:after="40"/>
            </w:pPr>
            <w:r/>
            <w:r>
              <w:rPr>
                <w:sz w:val="19"/>
              </w:rPr>
              <w:t>Background on what this category of software is.</w:t>
            </w:r>
          </w:p>
        </w:tc>
        <w:tc>
          <w:tcPr>
            <w:tcW w:type="dxa" w:w="2304"/>
          </w:tcPr>
          <w:p>
            <w:pPr>
              <w:spacing w:after="40"/>
            </w:pPr>
            <w:r>
              <w:rPr>
                <w:sz w:val="19"/>
              </w:rPr>
            </w:r>
            <w:hyperlink r:id="rId11">
              <w:r>
                <w:rPr>
                  <w:color w:val="0F6E7A"/>
                  <w:u w:val="single"/>
                </w:rPr>
                <w:t xml:space="preserve">Wikipedia</w:t>
              </w:r>
            </w:hyperlink>
          </w:p>
        </w:tc>
      </w:tr>
      <w:tr>
        <w:tc>
          <w:tcPr>
            <w:tcW w:type="dxa" w:w="2736"/>
          </w:tcPr>
          <w:p>
            <w:pPr>
              <w:spacing w:after="40"/>
            </w:pPr>
            <w:r/>
            <w:r>
              <w:rPr>
                <w:b/>
                <w:sz w:val="19"/>
              </w:rPr>
              <w:t>SAP ERP</w:t>
            </w:r>
          </w:p>
        </w:tc>
        <w:tc>
          <w:tcPr>
            <w:tcW w:type="dxa" w:w="4320"/>
          </w:tcPr>
          <w:p>
            <w:pPr>
              <w:spacing w:after="40"/>
            </w:pPr>
            <w:r/>
            <w:r>
              <w:rPr>
                <w:sz w:val="19"/>
              </w:rPr>
              <w:t>History and context of the product itself.</w:t>
            </w:r>
          </w:p>
        </w:tc>
        <w:tc>
          <w:tcPr>
            <w:tcW w:type="dxa" w:w="2304"/>
          </w:tcPr>
          <w:p>
            <w:pPr>
              <w:spacing w:after="40"/>
            </w:pPr>
            <w:r>
              <w:rPr>
                <w:sz w:val="19"/>
              </w:rPr>
            </w:r>
            <w:hyperlink r:id="rId12">
              <w:r>
                <w:rPr>
                  <w:color w:val="0F6E7A"/>
                  <w:u w:val="single"/>
                </w:rPr>
                <w:t xml:space="preserve">Wikipedia</w:t>
              </w:r>
            </w:hyperlink>
          </w:p>
        </w:tc>
      </w:tr>
    </w:tbl>
    <w:p>
      <w:pPr>
        <w:spacing w:after="0"/>
      </w:pPr>
    </w:p>
    <w:p>
      <w:pPr>
        <w:pStyle w:val="Heading2"/>
      </w:pPr>
      <w:r>
        <w:t>OData</w:t>
      </w:r>
    </w:p>
    <w:tbl>
      <w:tblPr>
        <w:tblStyle w:val="TableGrid"/>
        <w:tblW w:type="auto" w:w="0"/>
        <w:jc w:val="left"/>
        <w:tblLook w:firstColumn="1" w:firstRow="1" w:lastColumn="0" w:lastRow="0" w:noHBand="0" w:noVBand="1" w:val="04A0"/>
      </w:tblPr>
      <w:tblGrid>
        <w:gridCol w:w="3120"/>
        <w:gridCol w:w="3120"/>
        <w:gridCol w:w="3120"/>
      </w:tblGrid>
      <w:tr>
        <w:tc>
          <w:tcPr>
            <w:tcW w:type="dxa" w:w="2736"/>
            <w:shd w:val="clear" w:fill="E8EFF1"/>
          </w:tcPr>
          <w:p>
            <w:r/>
            <w:r>
              <w:rPr>
                <w:b/>
                <w:color w:val="0F6E7A"/>
                <w:sz w:val="19"/>
              </w:rPr>
              <w:t>Resource</w:t>
            </w:r>
          </w:p>
        </w:tc>
        <w:tc>
          <w:tcPr>
            <w:tcW w:type="dxa" w:w="4320"/>
            <w:shd w:val="clear" w:fill="E8EFF1"/>
          </w:tcPr>
          <w:p>
            <w:r/>
            <w:r>
              <w:rPr>
                <w:b/>
                <w:color w:val="0F6E7A"/>
                <w:sz w:val="19"/>
              </w:rPr>
              <w:t>Why</w:t>
            </w:r>
          </w:p>
        </w:tc>
        <w:tc>
          <w:tcPr>
            <w:tcW w:type="dxa" w:w="2304"/>
            <w:shd w:val="clear" w:fill="E8EFF1"/>
          </w:tcPr>
          <w:p>
            <w:r/>
            <w:r>
              <w:rPr>
                <w:b/>
                <w:color w:val="0F6E7A"/>
                <w:sz w:val="19"/>
              </w:rPr>
              <w:t>Link</w:t>
            </w:r>
          </w:p>
        </w:tc>
      </w:tr>
      <w:tr>
        <w:tc>
          <w:tcPr>
            <w:tcW w:type="dxa" w:w="2736"/>
          </w:tcPr>
          <w:p>
            <w:pPr>
              <w:spacing w:after="40"/>
            </w:pPr>
            <w:r/>
            <w:r>
              <w:rPr>
                <w:b/>
                <w:sz w:val="19"/>
              </w:rPr>
              <w:t>OData overview</w:t>
            </w:r>
          </w:p>
        </w:tc>
        <w:tc>
          <w:tcPr>
            <w:tcW w:type="dxa" w:w="4320"/>
          </w:tcPr>
          <w:p>
            <w:pPr>
              <w:spacing w:after="40"/>
            </w:pPr>
            <w:r/>
            <w:r>
              <w:rPr>
                <w:sz w:val="19"/>
              </w:rPr>
              <w:t>The protocol's own site.</w:t>
            </w:r>
          </w:p>
        </w:tc>
        <w:tc>
          <w:tcPr>
            <w:tcW w:type="dxa" w:w="2304"/>
          </w:tcPr>
          <w:p>
            <w:pPr>
              <w:spacing w:after="40"/>
            </w:pPr>
            <w:r>
              <w:rPr>
                <w:sz w:val="19"/>
              </w:rPr>
            </w:r>
            <w:hyperlink r:id="rId13">
              <w:r>
                <w:rPr>
                  <w:color w:val="0F6E7A"/>
                  <w:u w:val="single"/>
                </w:rPr>
                <w:t xml:space="preserve">odata.org</w:t>
              </w:r>
            </w:hyperlink>
          </w:p>
        </w:tc>
      </w:tr>
      <w:tr>
        <w:tc>
          <w:tcPr>
            <w:tcW w:type="dxa" w:w="2736"/>
          </w:tcPr>
          <w:p>
            <w:pPr>
              <w:spacing w:after="40"/>
            </w:pPr>
            <w:r/>
            <w:r>
              <w:rPr>
                <w:b/>
                <w:sz w:val="19"/>
              </w:rPr>
              <w:t>V2 URI conventions</w:t>
            </w:r>
          </w:p>
        </w:tc>
        <w:tc>
          <w:tcPr>
            <w:tcW w:type="dxa" w:w="4320"/>
          </w:tcPr>
          <w:p>
            <w:pPr>
              <w:spacing w:after="40"/>
            </w:pPr>
            <w:r/>
            <w:r>
              <w:rPr>
                <w:sz w:val="19"/>
              </w:rPr>
              <w:t>The important one. Exact syntax for $filter and friends, in the version we use.</w:t>
            </w:r>
          </w:p>
        </w:tc>
        <w:tc>
          <w:tcPr>
            <w:tcW w:type="dxa" w:w="2304"/>
          </w:tcPr>
          <w:p>
            <w:pPr>
              <w:spacing w:after="40"/>
            </w:pPr>
            <w:r>
              <w:rPr>
                <w:sz w:val="19"/>
              </w:rPr>
            </w:r>
            <w:hyperlink r:id="rId14">
              <w:r>
                <w:rPr>
                  <w:color w:val="0F6E7A"/>
                  <w:u w:val="single"/>
                </w:rPr>
                <w:t xml:space="preserve">V2 spec</w:t>
              </w:r>
            </w:hyperlink>
          </w:p>
        </w:tc>
      </w:tr>
      <w:tr>
        <w:tc>
          <w:tcPr>
            <w:tcW w:type="dxa" w:w="2736"/>
          </w:tcPr>
          <w:p>
            <w:pPr>
              <w:spacing w:after="40"/>
            </w:pPr>
            <w:r/>
            <w:r>
              <w:rPr>
                <w:b/>
                <w:sz w:val="19"/>
              </w:rPr>
              <w:t>Open Data Protocol</w:t>
            </w:r>
          </w:p>
        </w:tc>
        <w:tc>
          <w:tcPr>
            <w:tcW w:type="dxa" w:w="4320"/>
          </w:tcPr>
          <w:p>
            <w:pPr>
              <w:spacing w:after="40"/>
            </w:pPr>
            <w:r/>
            <w:r>
              <w:rPr>
                <w:sz w:val="19"/>
              </w:rPr>
              <w:t>Short plain-language summary.</w:t>
            </w:r>
          </w:p>
        </w:tc>
        <w:tc>
          <w:tcPr>
            <w:tcW w:type="dxa" w:w="2304"/>
          </w:tcPr>
          <w:p>
            <w:pPr>
              <w:spacing w:after="40"/>
            </w:pPr>
            <w:r>
              <w:rPr>
                <w:sz w:val="19"/>
              </w:rPr>
            </w:r>
            <w:hyperlink r:id="rId15">
              <w:r>
                <w:rPr>
                  <w:color w:val="0F6E7A"/>
                  <w:u w:val="single"/>
                </w:rPr>
                <w:t xml:space="preserve">Wikipedia</w:t>
              </w:r>
            </w:hyperlink>
          </w:p>
        </w:tc>
      </w:tr>
    </w:tbl>
    <w:p>
      <w:pPr>
        <w:spacing w:after="0"/>
      </w:pPr>
    </w:p>
    <w:p>
      <w:pPr>
        <w:pStyle w:val="Heading2"/>
      </w:pPr>
      <w:r>
        <w:t>SAP itself</w:t>
      </w:r>
    </w:p>
    <w:tbl>
      <w:tblPr>
        <w:tblStyle w:val="TableGrid"/>
        <w:tblW w:type="auto" w:w="0"/>
        <w:jc w:val="left"/>
        <w:tblLook w:firstColumn="1" w:firstRow="1" w:lastColumn="0" w:lastRow="0" w:noHBand="0" w:noVBand="1" w:val="04A0"/>
      </w:tblPr>
      <w:tblGrid>
        <w:gridCol w:w="3120"/>
        <w:gridCol w:w="3120"/>
        <w:gridCol w:w="3120"/>
      </w:tblGrid>
      <w:tr>
        <w:tc>
          <w:tcPr>
            <w:tcW w:type="dxa" w:w="2736"/>
            <w:shd w:val="clear" w:fill="E8EFF1"/>
          </w:tcPr>
          <w:p>
            <w:r/>
            <w:r>
              <w:rPr>
                <w:b/>
                <w:color w:val="0F6E7A"/>
                <w:sz w:val="19"/>
              </w:rPr>
              <w:t>Resource</w:t>
            </w:r>
          </w:p>
        </w:tc>
        <w:tc>
          <w:tcPr>
            <w:tcW w:type="dxa" w:w="4320"/>
            <w:shd w:val="clear" w:fill="E8EFF1"/>
          </w:tcPr>
          <w:p>
            <w:r/>
            <w:r>
              <w:rPr>
                <w:b/>
                <w:color w:val="0F6E7A"/>
                <w:sz w:val="19"/>
              </w:rPr>
              <w:t>Why</w:t>
            </w:r>
          </w:p>
        </w:tc>
        <w:tc>
          <w:tcPr>
            <w:tcW w:type="dxa" w:w="2304"/>
            <w:shd w:val="clear" w:fill="E8EFF1"/>
          </w:tcPr>
          <w:p>
            <w:r/>
            <w:r>
              <w:rPr>
                <w:b/>
                <w:color w:val="0F6E7A"/>
                <w:sz w:val="19"/>
              </w:rPr>
              <w:t>Link</w:t>
            </w:r>
          </w:p>
        </w:tc>
      </w:tr>
      <w:tr>
        <w:tc>
          <w:tcPr>
            <w:tcW w:type="dxa" w:w="2736"/>
          </w:tcPr>
          <w:p>
            <w:pPr>
              <w:spacing w:after="40"/>
            </w:pPr>
            <w:r/>
            <w:r>
              <w:rPr>
                <w:b/>
                <w:sz w:val="19"/>
              </w:rPr>
              <w:t>SAP Help Portal — S/4HANA Cloud</w:t>
            </w:r>
          </w:p>
        </w:tc>
        <w:tc>
          <w:tcPr>
            <w:tcW w:type="dxa" w:w="4320"/>
          </w:tcPr>
          <w:p>
            <w:pPr>
              <w:spacing w:after="40"/>
            </w:pPr>
            <w:r/>
            <w:r>
              <w:rPr>
                <w:sz w:val="19"/>
              </w:rPr>
              <w:t>Official documentation for the system our sandbox imitates.</w:t>
            </w:r>
          </w:p>
        </w:tc>
        <w:tc>
          <w:tcPr>
            <w:tcW w:type="dxa" w:w="2304"/>
          </w:tcPr>
          <w:p>
            <w:pPr>
              <w:spacing w:after="40"/>
            </w:pPr>
            <w:r>
              <w:rPr>
                <w:sz w:val="19"/>
              </w:rPr>
            </w:r>
            <w:hyperlink r:id="rId16">
              <w:r>
                <w:rPr>
                  <w:color w:val="0F6E7A"/>
                  <w:u w:val="single"/>
                </w:rPr>
                <w:t xml:space="preserve">help.sap.com</w:t>
              </w:r>
            </w:hyperlink>
          </w:p>
        </w:tc>
      </w:tr>
      <w:tr>
        <w:tc>
          <w:tcPr>
            <w:tcW w:type="dxa" w:w="2736"/>
          </w:tcPr>
          <w:p>
            <w:pPr>
              <w:spacing w:after="40"/>
            </w:pPr>
            <w:r/>
            <w:r>
              <w:rPr>
                <w:b/>
                <w:sz w:val="19"/>
              </w:rPr>
              <w:t>SAP Learning</w:t>
            </w:r>
          </w:p>
        </w:tc>
        <w:tc>
          <w:tcPr>
            <w:tcW w:type="dxa" w:w="4320"/>
          </w:tcPr>
          <w:p>
            <w:pPr>
              <w:spacing w:after="40"/>
            </w:pPr>
            <w:r/>
            <w:r>
              <w:rPr>
                <w:sz w:val="19"/>
              </w:rPr>
              <w:t>Free structured courses if you want real depth.</w:t>
            </w:r>
          </w:p>
        </w:tc>
        <w:tc>
          <w:tcPr>
            <w:tcW w:type="dxa" w:w="2304"/>
          </w:tcPr>
          <w:p>
            <w:pPr>
              <w:spacing w:after="40"/>
            </w:pPr>
            <w:r>
              <w:rPr>
                <w:sz w:val="19"/>
              </w:rPr>
            </w:r>
            <w:hyperlink r:id="rId17">
              <w:r>
                <w:rPr>
                  <w:color w:val="0F6E7A"/>
                  <w:u w:val="single"/>
                </w:rPr>
                <w:t xml:space="preserve">learning.sap.com</w:t>
              </w:r>
            </w:hyperlink>
          </w:p>
        </w:tc>
      </w:tr>
    </w:tbl>
    <w:p>
      <w:pPr>
        <w:spacing w:after="0"/>
      </w:pPr>
    </w:p>
    <w:p>
      <w:pPr>
        <w:pStyle w:val="Heading2"/>
      </w:pPr>
      <w:r>
        <w:t>Our stack</w:t>
      </w:r>
    </w:p>
    <w:tbl>
      <w:tblPr>
        <w:tblStyle w:val="TableGrid"/>
        <w:tblW w:type="auto" w:w="0"/>
        <w:jc w:val="left"/>
        <w:tblLook w:firstColumn="1" w:firstRow="1" w:lastColumn="0" w:lastRow="0" w:noHBand="0" w:noVBand="1" w:val="04A0"/>
      </w:tblPr>
      <w:tblGrid>
        <w:gridCol w:w="3120"/>
        <w:gridCol w:w="3120"/>
        <w:gridCol w:w="3120"/>
      </w:tblGrid>
      <w:tr>
        <w:tc>
          <w:tcPr>
            <w:tcW w:type="dxa" w:w="2736"/>
            <w:shd w:val="clear" w:fill="E8EFF1"/>
          </w:tcPr>
          <w:p>
            <w:r/>
            <w:r>
              <w:rPr>
                <w:b/>
                <w:color w:val="0F6E7A"/>
                <w:sz w:val="19"/>
              </w:rPr>
              <w:t>Resource</w:t>
            </w:r>
          </w:p>
        </w:tc>
        <w:tc>
          <w:tcPr>
            <w:tcW w:type="dxa" w:w="4320"/>
            <w:shd w:val="clear" w:fill="E8EFF1"/>
          </w:tcPr>
          <w:p>
            <w:r/>
            <w:r>
              <w:rPr>
                <w:b/>
                <w:color w:val="0F6E7A"/>
                <w:sz w:val="19"/>
              </w:rPr>
              <w:t>Why</w:t>
            </w:r>
          </w:p>
        </w:tc>
        <w:tc>
          <w:tcPr>
            <w:tcW w:type="dxa" w:w="2304"/>
            <w:shd w:val="clear" w:fill="E8EFF1"/>
          </w:tcPr>
          <w:p>
            <w:r/>
            <w:r>
              <w:rPr>
                <w:b/>
                <w:color w:val="0F6E7A"/>
                <w:sz w:val="19"/>
              </w:rPr>
              <w:t>Link</w:t>
            </w:r>
          </w:p>
        </w:tc>
      </w:tr>
      <w:tr>
        <w:tc>
          <w:tcPr>
            <w:tcW w:type="dxa" w:w="2736"/>
          </w:tcPr>
          <w:p>
            <w:pPr>
              <w:spacing w:after="40"/>
            </w:pPr>
            <w:r/>
            <w:r>
              <w:rPr>
                <w:b/>
                <w:sz w:val="19"/>
              </w:rPr>
              <w:t>NestJS</w:t>
            </w:r>
          </w:p>
        </w:tc>
        <w:tc>
          <w:tcPr>
            <w:tcW w:type="dxa" w:w="4320"/>
          </w:tcPr>
          <w:p>
            <w:pPr>
              <w:spacing w:after="40"/>
            </w:pPr>
            <w:r/>
            <w:r>
              <w:rPr>
                <w:sz w:val="19"/>
              </w:rPr>
              <w:t>The backend framework.</w:t>
            </w:r>
          </w:p>
        </w:tc>
        <w:tc>
          <w:tcPr>
            <w:tcW w:type="dxa" w:w="2304"/>
          </w:tcPr>
          <w:p>
            <w:pPr>
              <w:spacing w:after="40"/>
            </w:pPr>
            <w:r>
              <w:rPr>
                <w:sz w:val="19"/>
              </w:rPr>
            </w:r>
            <w:hyperlink r:id="rId18">
              <w:r>
                <w:rPr>
                  <w:color w:val="0F6E7A"/>
                  <w:u w:val="single"/>
                </w:rPr>
                <w:t xml:space="preserve">nestjs.com</w:t>
              </w:r>
            </w:hyperlink>
          </w:p>
        </w:tc>
      </w:tr>
      <w:tr>
        <w:tc>
          <w:tcPr>
            <w:tcW w:type="dxa" w:w="2736"/>
          </w:tcPr>
          <w:p>
            <w:pPr>
              <w:spacing w:after="40"/>
            </w:pPr>
            <w:r/>
            <w:r>
              <w:rPr>
                <w:b/>
                <w:sz w:val="19"/>
              </w:rPr>
              <w:t>Next.js</w:t>
            </w:r>
          </w:p>
        </w:tc>
        <w:tc>
          <w:tcPr>
            <w:tcW w:type="dxa" w:w="4320"/>
          </w:tcPr>
          <w:p>
            <w:pPr>
              <w:spacing w:after="40"/>
            </w:pPr>
            <w:r/>
            <w:r>
              <w:rPr>
                <w:sz w:val="19"/>
              </w:rPr>
              <w:t>The frontend framework.</w:t>
            </w:r>
          </w:p>
        </w:tc>
        <w:tc>
          <w:tcPr>
            <w:tcW w:type="dxa" w:w="2304"/>
          </w:tcPr>
          <w:p>
            <w:pPr>
              <w:spacing w:after="40"/>
            </w:pPr>
            <w:r>
              <w:rPr>
                <w:sz w:val="19"/>
              </w:rPr>
            </w:r>
            <w:hyperlink r:id="rId19">
              <w:r>
                <w:rPr>
                  <w:color w:val="0F6E7A"/>
                  <w:u w:val="single"/>
                </w:rPr>
                <w:t xml:space="preserve">nextjs.org</w:t>
              </w:r>
            </w:hyperlink>
          </w:p>
        </w:tc>
      </w:tr>
      <w:tr>
        <w:tc>
          <w:tcPr>
            <w:tcW w:type="dxa" w:w="2736"/>
          </w:tcPr>
          <w:p>
            <w:pPr>
              <w:spacing w:after="40"/>
            </w:pPr>
            <w:r/>
            <w:r>
              <w:rPr>
                <w:b/>
                <w:sz w:val="19"/>
              </w:rPr>
              <w:t>Zod</w:t>
            </w:r>
          </w:p>
        </w:tc>
        <w:tc>
          <w:tcPr>
            <w:tcW w:type="dxa" w:w="4320"/>
          </w:tcPr>
          <w:p>
            <w:pPr>
              <w:spacing w:after="40"/>
            </w:pPr>
            <w:r/>
            <w:r>
              <w:rPr>
                <w:sz w:val="19"/>
              </w:rPr>
              <w:t>How we'll define and enforce the intent schema.</w:t>
            </w:r>
          </w:p>
        </w:tc>
        <w:tc>
          <w:tcPr>
            <w:tcW w:type="dxa" w:w="2304"/>
          </w:tcPr>
          <w:p>
            <w:pPr>
              <w:spacing w:after="40"/>
            </w:pPr>
            <w:r>
              <w:rPr>
                <w:sz w:val="19"/>
              </w:rPr>
            </w:r>
            <w:hyperlink r:id="rId20">
              <w:r>
                <w:rPr>
                  <w:color w:val="0F6E7A"/>
                  <w:u w:val="single"/>
                </w:rPr>
                <w:t xml:space="preserve">zod.dev</w:t>
              </w:r>
            </w:hyperlink>
          </w:p>
        </w:tc>
      </w:tr>
      <w:tr>
        <w:tc>
          <w:tcPr>
            <w:tcW w:type="dxa" w:w="2736"/>
          </w:tcPr>
          <w:p>
            <w:pPr>
              <w:spacing w:after="40"/>
            </w:pPr>
            <w:r/>
            <w:r>
              <w:rPr>
                <w:b/>
                <w:sz w:val="19"/>
              </w:rPr>
              <w:t>OpenAI structured outputs</w:t>
            </w:r>
          </w:p>
        </w:tc>
        <w:tc>
          <w:tcPr>
            <w:tcW w:type="dxa" w:w="4320"/>
          </w:tcPr>
          <w:p>
            <w:pPr>
              <w:spacing w:after="40"/>
            </w:pPr>
            <w:r/>
            <w:r>
              <w:rPr>
                <w:sz w:val="19"/>
              </w:rPr>
              <w:t>How we force the model to return valid intent JSON.</w:t>
            </w:r>
          </w:p>
        </w:tc>
        <w:tc>
          <w:tcPr>
            <w:tcW w:type="dxa" w:w="2304"/>
          </w:tcPr>
          <w:p>
            <w:pPr>
              <w:spacing w:after="40"/>
            </w:pPr>
            <w:r>
              <w:rPr>
                <w:sz w:val="19"/>
              </w:rPr>
            </w:r>
            <w:hyperlink r:id="rId21">
              <w:r>
                <w:rPr>
                  <w:color w:val="0F6E7A"/>
                  <w:u w:val="single"/>
                </w:rPr>
                <w:t xml:space="preserve">OpenAI docs</w:t>
              </w:r>
            </w:hyperlink>
          </w:p>
        </w:tc>
      </w:tr>
    </w:tbl>
    <w:p>
      <w:pPr>
        <w:spacing w:after="0"/>
      </w:pPr>
    </w:p>
    <w:p/>
    <w:p>
      <w:r>
        <w:rPr>
          <w:i/>
          <w:color w:val="64777F"/>
          <w:sz w:val="18"/>
        </w:rPr>
        <w:t>SAPTalk — companion document to the project reference. Milestone 1 complete: the pipe from browser to SAP and back is working.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623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0F6E7A"/>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F6E7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623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i.sap.com" TargetMode="External"/><Relationship Id="rId10" Type="http://schemas.openxmlformats.org/officeDocument/2006/relationships/hyperlink" Target="https://api.sap.com/api/API_BUSINESS_PARTNER/overview" TargetMode="External"/><Relationship Id="rId11" Type="http://schemas.openxmlformats.org/officeDocument/2006/relationships/hyperlink" Target="https://en.wikipedia.org/wiki/Enterprise_resource_planning" TargetMode="External"/><Relationship Id="rId12" Type="http://schemas.openxmlformats.org/officeDocument/2006/relationships/hyperlink" Target="https://en.wikipedia.org/wiki/SAP_ERP" TargetMode="External"/><Relationship Id="rId13" Type="http://schemas.openxmlformats.org/officeDocument/2006/relationships/hyperlink" Target="https://www.odata.org/" TargetMode="External"/><Relationship Id="rId14" Type="http://schemas.openxmlformats.org/officeDocument/2006/relationships/hyperlink" Target="https://www.odata.org/documentation/odata-version-2-0/uri-conventions/" TargetMode="External"/><Relationship Id="rId15" Type="http://schemas.openxmlformats.org/officeDocument/2006/relationships/hyperlink" Target="https://en.wikipedia.org/wiki/Open_Data_Protocol" TargetMode="External"/><Relationship Id="rId16" Type="http://schemas.openxmlformats.org/officeDocument/2006/relationships/hyperlink" Target="https://help.sap.com/docs/SAP_S4HANA_CLOUD" TargetMode="External"/><Relationship Id="rId17" Type="http://schemas.openxmlformats.org/officeDocument/2006/relationships/hyperlink" Target="https://learning.sap.com" TargetMode="External"/><Relationship Id="rId18" Type="http://schemas.openxmlformats.org/officeDocument/2006/relationships/hyperlink" Target="https://nestjs.com" TargetMode="External"/><Relationship Id="rId19" Type="http://schemas.openxmlformats.org/officeDocument/2006/relationships/hyperlink" Target="https://nextjs.org" TargetMode="External"/><Relationship Id="rId20" Type="http://schemas.openxmlformats.org/officeDocument/2006/relationships/hyperlink" Target="https://zod.dev" TargetMode="External"/><Relationship Id="rId21" Type="http://schemas.openxmlformats.org/officeDocument/2006/relationships/hyperlink" Target="https://platform.openai.com/docs/guides/structured-outpu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