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Hayes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برگیرنده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modulator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demodulator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مسخره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دهه</w:t>
      </w:r>
      <w:r w:rsidDel="00000000" w:rsidR="00000000" w:rsidRPr="00000000">
        <w:rPr>
          <w:rtl w:val="1"/>
        </w:rPr>
        <w:t xml:space="preserve"> 1950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SAGE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امروزه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outboard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اجتناب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میکرد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وآلارم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، 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SIGHUP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یونیکس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ترمینال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HUP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HangUP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نامیده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110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56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کیلو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دهه</w:t>
      </w:r>
      <w:r w:rsidDel="00000000" w:rsidR="00000000" w:rsidRPr="00000000">
        <w:rPr>
          <w:rtl w:val="1"/>
        </w:rPr>
        <w:t xml:space="preserve"> 1990 </w:t>
      </w:r>
      <w:r w:rsidDel="00000000" w:rsidR="00000000" w:rsidRPr="00000000">
        <w:rPr>
          <w:rtl w:val="1"/>
        </w:rPr>
        <w:t xml:space="preserve">پخش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مگابیت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1970،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1984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1991،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9600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9600</w:t>
      </w:r>
      <w:r w:rsidDel="00000000" w:rsidR="00000000" w:rsidRPr="00000000">
        <w:rPr>
          <w:rtl w:val="0"/>
        </w:rPr>
        <w:t xml:space="preserve">bps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Hayes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Smartmodems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پیشوند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ATDT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Hayes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1981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پیشوند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(1 + 0 1000 0010 1 + 0 0010 1010 1 +،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[2].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2017 </w:t>
      </w:r>
      <w:r w:rsidDel="00000000" w:rsidR="00000000" w:rsidRPr="00000000">
        <w:rPr>
          <w:rtl w:val="1"/>
        </w:rPr>
        <w:t xml:space="preserve">کنوانسیون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مودمهای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، "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QLINUXCMD</w:t>
      </w:r>
      <w:r w:rsidDel="00000000" w:rsidR="00000000" w:rsidRPr="00000000">
        <w:rPr>
          <w:rtl w:val="1"/>
        </w:rPr>
        <w:t xml:space="preserve"> ="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