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1990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1971 </w:t>
      </w:r>
      <w:r w:rsidDel="00000000" w:rsidR="00000000" w:rsidRPr="00000000">
        <w:rPr>
          <w:rtl w:val="1"/>
        </w:rPr>
        <w:t xml:space="preserve">تاکنون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(1991)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اکتیو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لایسنس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1993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مرورگرهای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Gopher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نوستالژی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