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QŪNAR v0.8.1 - итоговая доказательная и техническая сверка</w:t>
      </w:r>
    </w:p>
    <w:p>
      <w:r>
        <w:t>Дата сверки: 18 октября 2026 года. Основание: последняя объединённая рабочая копия QŪNAR, первичные расчёты NASA/CMIP6, независимые проверки A1–A9, исходный сценарий A8 и его актуализированный пересчёт.</w:t>
      </w:r>
    </w:p>
    <w:p>
      <w:r>
        <w:t>Условные обозначения статуса: «расчёт выполнен» относится к программной/методической части; «научно частично» означает, что реальный эффект или часть исходных данных не подтверждены наблюдениями хозяйства.</w:t>
      </w:r>
    </w:p>
    <w:p>
      <w:pPr>
        <w:pStyle w:val="Heading1"/>
      </w:pPr>
      <w:r>
        <w:t>1. Реестр A1–A9: что завершено и что запрещено утверждать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 w:val="true"/>
        </w:trPr>
        <w:tc>
          <w:tcPr>
            <w:tcW w:type="dxa" w:w="2098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Пункт</w:t>
            </w:r>
          </w:p>
        </w:tc>
        <w:tc>
          <w:tcPr>
            <w:tcW w:type="dxa" w:w="4649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Выполненная работа</w:t>
            </w:r>
          </w:p>
        </w:tc>
        <w:tc>
          <w:tcPr>
            <w:tcW w:type="dxa" w:w="3458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Текущий результат</w:t>
            </w:r>
          </w:p>
        </w:tc>
        <w:tc>
          <w:tcPr>
            <w:tcW w:type="dxa" w:w="4592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Научная граница доказательности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A1. Частичные выбросы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IPCC N₂O (сухой климат / рис по режиму), дизель, сеть, видовой CH₄; разграничены источники/границы.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Методика частичных CO₂e реализована.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 полный жизненный цикл; нет измеренного сокращения у предприятия.</w:t>
            </w:r>
          </w:p>
        </w:tc>
      </w:tr>
      <w:tr>
        <w:tc>
          <w:tcPr>
            <w:tcW w:type="dxa" w:w="209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A2. NASA POWER</w:t>
            </w:r>
          </w:p>
        </w:tc>
        <w:tc>
          <w:tcPr>
            <w:tcW w:type="dxa" w:w="464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 ячеек × 1995–2025, 17 территорий; пересечение границ и веса; отчёт о покрытии.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Региональная месячная база подготовлена.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Суточные экстремумы и доступность API отдельно от месячных рядов.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A3. FAO-56 / орошение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Нормы 108-НҚ, сопоставление 288-НҚ в Мактаарале; физическая формула для насоса; отдельный рис.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Расчёт нормативной воды и инженерный пример реализованы.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 все зоны 288-НҚ перенесены; почва и агротехника могут быть неизвестны.</w:t>
            </w:r>
          </w:p>
        </w:tc>
      </w:tr>
      <w:tr>
        <w:tc>
          <w:tcPr>
            <w:tcW w:type="dxa" w:w="209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A4. CMIP6</w:t>
            </w:r>
          </w:p>
        </w:tc>
        <w:tc>
          <w:tcPr>
            <w:tcW w:type="dxa" w:w="464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CCKP SSP2-4.5 / SSP5-8.5, температуры и жара, сценарии D.8 с фиксированными ограничениями.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Сценарии и D.8 воспроизводимы.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Сценарий водопотребления - температурный proxy, не будущий полный FAO-56.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A5. Затраты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Защита от пустого ввода=0, датированные тарифы по поставщику, без двойного счёта насосов.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Исправлен расчёт при отсутствии данных.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Нет подтверждённой полной современной себестоимости по всем культурам.</w:t>
            </w:r>
          </w:p>
        </w:tc>
      </w:tr>
      <w:tr>
        <w:tc>
          <w:tcPr>
            <w:tcW w:type="dxa" w:w="209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A6. ML</w:t>
            </w:r>
          </w:p>
        </w:tc>
        <w:tc>
          <w:tcPr>
            <w:tcW w:type="dxa" w:w="464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RF против 6 альтернатив, тройная хронологическая проверка, интервалы и предупреждения.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Сравнение выполнено, RF оставлен основным.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Точность по рису и другим культурам ограничена; не заявлять надёжный прогноз повсюду.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A7. Веса/опрос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Индекс 60/40, TOPSIS, CRITIC, энтропия, Монте-Карло, 208 анкет.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Стабильность ранжирования исследована.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AHP 2×2 - математическая иллюстрация, не проведённый экспертный опрос.</w:t>
            </w:r>
          </w:p>
        </w:tc>
      </w:tr>
      <w:tr>
        <w:tc>
          <w:tcPr>
            <w:tcW w:type="dxa" w:w="209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A8. Эффект/оптимизация</w:t>
            </w:r>
          </w:p>
        </w:tc>
        <w:tc>
          <w:tcPr>
            <w:tcW w:type="dxa" w:w="464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Сценарный A8 100 га; 8 строк D.8; ограничения воды/CO₂e, δ=0 и 5%.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Сценарии воспроизведены.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 доказанный факт внедрения, бюджеты/затраты условны.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A9. Урожайность для маржи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Приоритет ввода фермы и предшествующих лет; контроль утечки будущих значений.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Правило в коде и тестах есть.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Интерфейс/экспорт нуждается в визуальном браузерном QA.</w:t>
            </w:r>
          </w:p>
        </w:tc>
      </w:tr>
    </w:tbl>
    <w:p>
      <w:pPr>
        <w:pStyle w:val="Heading1"/>
      </w:pPr>
      <w:r>
        <w:t>2. Основная воспроизводимая D.8, справочно-сценарная спецификация</w:t>
      </w:r>
    </w:p>
    <w:p>
      <w:r>
        <w:t>Мактаарал, 100 га (не фактическое хозяйство); апрель–сентябрь. Самотёк «Казводхоз» 1,160 тг/м³ без НДС; собственный насос H=25 м, η=65%; 0,10480769 кВт·ч/м³; электричество 41,06 тг/кВт·ч без НДС (тариф опубликован для ноября 2025, на октябрь 2026 действие не подтверждено); 0,813 кг CO₂/кВт·ч - среднее по генерации Казахстана за 2025 год; N и дизель - условные активности по культурам.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4"/>
        <w:gridCol w:w="1864"/>
        <w:gridCol w:w="1864"/>
        <w:gridCol w:w="1864"/>
        <w:gridCol w:w="1864"/>
        <w:gridCol w:w="1864"/>
        <w:gridCol w:w="1864"/>
        <w:gridCol w:w="1864"/>
      </w:tblGrid>
      <w:tr>
        <w:trPr>
          <w:tblHeader w:val="true"/>
        </w:trPr>
        <w:tc>
          <w:tcPr>
            <w:tcW w:type="dxa" w:w="2891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1332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Хлопчатник, га</w:t>
            </w:r>
          </w:p>
        </w:tc>
        <w:tc>
          <w:tcPr>
            <w:tcW w:type="dxa" w:w="1219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Кукуруза, га</w:t>
            </w:r>
          </w:p>
        </w:tc>
        <w:tc>
          <w:tcPr>
            <w:tcW w:type="dxa" w:w="1219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Пшеница, га</w:t>
            </w:r>
          </w:p>
        </w:tc>
        <w:tc>
          <w:tcPr>
            <w:tcW w:type="dxa" w:w="1531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Вода, м³</w:t>
            </w:r>
          </w:p>
        </w:tc>
        <w:tc>
          <w:tcPr>
            <w:tcW w:type="dxa" w:w="1729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Маржа, млн тг</w:t>
            </w:r>
          </w:p>
        </w:tc>
        <w:tc>
          <w:tcPr>
            <w:tcW w:type="dxa" w:w="1701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Частичные CO₂e, т</w:t>
            </w:r>
          </w:p>
        </w:tc>
        <w:tc>
          <w:tcPr>
            <w:tcW w:type="dxa" w:w="2948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6"/>
              </w:rPr>
              <w:t>Статус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Исходная структура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50,00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30,00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20,00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725 500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20,419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116,196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базовый вариант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Экономический оптимум</w:t>
            </w:r>
          </w:p>
        </w:tc>
        <w:tc>
          <w:tcPr>
            <w:tcW w:type="dxa" w:w="133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60,00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24,48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15,52</w:t>
            </w:r>
          </w:p>
        </w:tc>
        <w:tc>
          <w:tcPr>
            <w:tcW w:type="dxa" w:w="153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750 000</w:t>
            </w:r>
          </w:p>
        </w:tc>
        <w:tc>
          <w:tcPr>
            <w:tcW w:type="dxa" w:w="172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21,773</w:t>
            </w:r>
          </w:p>
        </w:tc>
        <w:tc>
          <w:tcPr>
            <w:tcW w:type="dxa" w:w="17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120,151</w:t>
            </w:r>
          </w:p>
        </w:tc>
        <w:tc>
          <w:tcPr>
            <w:tcW w:type="dxa" w:w="294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допустимо в заданных условиях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Устойчивый компромисс δ=0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23,74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722 457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20,749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116,196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допустимо в заданных условиях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Комбинированный стресс</w:t>
            </w:r>
          </w:p>
        </w:tc>
        <w:tc>
          <w:tcPr>
            <w:tcW w:type="dxa" w:w="133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41,85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3,00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55,15</w:t>
            </w:r>
          </w:p>
        </w:tc>
        <w:tc>
          <w:tcPr>
            <w:tcW w:type="dxa" w:w="153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600 000</w:t>
            </w:r>
          </w:p>
        </w:tc>
        <w:tc>
          <w:tcPr>
            <w:tcW w:type="dxa" w:w="172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8,816</w:t>
            </w:r>
          </w:p>
        </w:tc>
        <w:tc>
          <w:tcPr>
            <w:tcW w:type="dxa" w:w="17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97,816</w:t>
            </w:r>
          </w:p>
        </w:tc>
        <w:tc>
          <w:tcPr>
            <w:tcW w:type="dxa" w:w="294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допустимо в заданных условиях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SSP2-4.5, δ≤0%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нет допустимого решения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SSP2-4.5, δ≤5%</w:t>
            </w:r>
          </w:p>
        </w:tc>
        <w:tc>
          <w:tcPr>
            <w:tcW w:type="dxa" w:w="133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29,48</w:t>
            </w:r>
          </w:p>
        </w:tc>
        <w:tc>
          <w:tcPr>
            <w:tcW w:type="dxa" w:w="153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735 624</w:t>
            </w:r>
          </w:p>
        </w:tc>
        <w:tc>
          <w:tcPr>
            <w:tcW w:type="dxa" w:w="172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19,857</w:t>
            </w:r>
          </w:p>
        </w:tc>
        <w:tc>
          <w:tcPr>
            <w:tcW w:type="dxa" w:w="17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116,196</w:t>
            </w:r>
          </w:p>
        </w:tc>
        <w:tc>
          <w:tcPr>
            <w:tcW w:type="dxa" w:w="294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допустимо в заданных условиях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SSP5-8.5, δ≤0%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729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нет допустимого решения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SSP5-8.5, δ≤5%</w:t>
            </w:r>
          </w:p>
        </w:tc>
        <w:tc>
          <w:tcPr>
            <w:tcW w:type="dxa" w:w="133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21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31,32</w:t>
            </w:r>
          </w:p>
        </w:tc>
        <w:tc>
          <w:tcPr>
            <w:tcW w:type="dxa" w:w="153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739 850</w:t>
            </w:r>
          </w:p>
        </w:tc>
        <w:tc>
          <w:tcPr>
            <w:tcW w:type="dxa" w:w="1729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19,571</w:t>
            </w:r>
          </w:p>
        </w:tc>
        <w:tc>
          <w:tcPr>
            <w:tcW w:type="dxa" w:w="17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116,196</w:t>
            </w:r>
          </w:p>
        </w:tc>
        <w:tc>
          <w:tcPr>
            <w:tcW w:type="dxa" w:w="294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допустимо в заданных условиях</w:t>
            </w:r>
          </w:p>
        </w:tc>
      </w:tr>
    </w:tbl>
    <w:p>
      <w:r>
        <w:t>Стресс: доступная вода −20%, урожайность −10%, переменные затраты +10%. Для SSP включены водный предел 750 000 м³ и предел частичных выбросов сегодняшней исходной структуры. При δ=0 допустимого решения нет; при допуске снижения маржи δ≤5% оно найдено. Прочерк означает недопустимость, а не нулевую деятельность.</w:t>
      </w:r>
    </w:p>
    <w:p>
      <w:pPr>
        <w:pStyle w:val="Heading1"/>
      </w:pPr>
      <w:r>
        <w:t>3. Сопоставление проверок ML и многокритериальных весов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891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Контроль</w:t>
            </w:r>
          </w:p>
        </w:tc>
        <w:tc>
          <w:tcPr>
            <w:tcW w:type="dxa" w:w="4535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Доказанный результат</w:t>
            </w:r>
          </w:p>
        </w:tc>
        <w:tc>
          <w:tcPr>
            <w:tcW w:type="dxa" w:w="7370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Корректная интерпретация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Три окна прогнозов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2011–2015: n=292; 2016–2020: n=318; 2021–2025: n=326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Временная валидация; не сравнивать MAE напрямую с GroupKFold (8,84 ц/га).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Последний период</w:t>
            </w:r>
          </w:p>
        </w:tc>
        <w:tc>
          <w:tcPr>
            <w:tcW w:type="dxa" w:w="4535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ExtraTrees MAE 15,90; RF MAE 16,71 ц/га</w:t>
            </w:r>
          </w:p>
        </w:tc>
        <w:tc>
          <w:tcPr>
            <w:tcW w:type="dxa" w:w="7370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На ранних окнах RF MAE 9,66 против 10,33 у ExtraTrees; RF остаётся основной.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Weighted Sum vs TOPSIS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Лидер 11/17; тройка лидеров 17/17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Устойчивость набора трёх, не неизменность первой культуры.</w:t>
            </w:r>
          </w:p>
        </w:tc>
      </w:tr>
      <w:tr>
        <w:tc>
          <w:tcPr>
            <w:tcW w:type="dxa" w:w="289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Monte Carlo</w:t>
            </w:r>
          </w:p>
        </w:tc>
        <w:tc>
          <w:tcPr>
            <w:tcW w:type="dxa" w:w="4535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10 000 итераций × 17 территорий; 96,8% для случайных весов; 57,4% при дополнительном шуме 3 балла</w:t>
            </w:r>
          </w:p>
        </w:tc>
        <w:tc>
          <w:tcPr>
            <w:tcW w:type="dxa" w:w="7370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Частоты сценарной устойчивости, не вероятность агрономического успеха.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Происхождение 60/40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Изначально 50/35/15: без надёжности 50/85=58,82%, 35/85=41,18%, округлены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Не эмпирический экспертный AHP и не выбор индивидуальных респондентов.</w:t>
            </w:r>
          </w:p>
        </w:tc>
      </w:tr>
    </w:tbl>
    <w:p>
      <w:pPr>
        <w:pStyle w:val="Heading1"/>
      </w:pPr>
      <w:r>
        <w:t>4. Нормативные и тарифные основания, актуальность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rPr>
          <w:tblHeader w:val="true"/>
        </w:trPr>
        <w:tc>
          <w:tcPr>
            <w:tcW w:type="dxa" w:w="2438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3458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Применяемое значение</w:t>
            </w:r>
          </w:p>
        </w:tc>
        <w:tc>
          <w:tcPr>
            <w:tcW w:type="dxa" w:w="8901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Статус, точный источник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Вода: Мактаарал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Хлопок 8 400; кукуруза 7 450; озимая пшеница 4 100 м³/га</w:t>
            </w:r>
          </w:p>
        </w:tc>
        <w:tc>
          <w:tcPr>
            <w:tcW w:type="dxa" w:w="89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Таблица 3 №108-НҚ и совпадающие строки №288-НҚ при поверхностном орошении, автоморфных почвах, 50%. Это не проверка всех районов.</w:t>
            </w:r>
          </w:p>
        </w:tc>
      </w:tr>
      <w:tr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Тариф воды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1,160 тг/м³, без НДС</w:t>
            </w:r>
          </w:p>
        </w:tc>
        <w:tc>
          <w:tcPr>
            <w:tcW w:type="dxa" w:w="89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Государственный реестр 01.01.2026 РГП «Казводхоз», категория СХТП, самотёк. Договор конкретной фермы не установлен.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Тариф электроэнергии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41,06 тг/кВт·ч без НДС; 45,9872 с НДС 2025 г.</w:t>
            </w:r>
          </w:p>
        </w:tc>
        <w:tc>
          <w:tcPr>
            <w:tcW w:type="dxa" w:w="89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Уведомление 01.11.2025 для небытовых потребителей, НДС 12% в опубликованной цене 2025. Действие на октябрь 2026 не подтверждено.</w:t>
            </w:r>
          </w:p>
        </w:tc>
      </w:tr>
      <w:tr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Электросеть CO₂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0,813 кг CO₂/кВт·ч</w:t>
            </w:r>
          </w:p>
        </w:tc>
        <w:tc>
          <w:tcPr>
            <w:tcW w:type="dxa" w:w="89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Ember, оценка 2025 национальной генерации, не официальный сетевой коэффициент РК и не полный CO₂e.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Насос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0,002725 × H/η кВт·ч/м³</w:t>
            </w:r>
          </w:p>
        </w:tc>
        <w:tc>
          <w:tcPr>
            <w:tcW w:type="dxa" w:w="890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Физическая формула, H=25 м и η=0,65 - сценарные, не измеренные характеристики.</w:t>
            </w:r>
          </w:p>
        </w:tc>
      </w:tr>
      <w:tr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Удобрения/дизель/скот</w:t>
            </w:r>
          </w:p>
        </w:tc>
        <w:tc>
          <w:tcPr>
            <w:tcW w:type="dxa" w:w="3458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IPCC 2019 Refinement и видовые коэффициенты; дизель 2,676492 кг CO₂/л</w:t>
            </w:r>
          </w:p>
        </w:tc>
        <w:tc>
          <w:tcPr>
            <w:tcW w:type="dxa" w:w="8901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Для фактических выбросов нужны N, литры, тип содержания и границы деятельности хозяйства.</w:t>
            </w:r>
          </w:p>
        </w:tc>
      </w:tr>
    </w:tbl>
    <w:p>
      <w:pPr>
        <w:pStyle w:val="Heading1"/>
      </w:pPr>
      <w:r>
        <w:t>5. Точечные правки диссертации: куда и что вставлять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 w:val="true"/>
        </w:trPr>
        <w:tc>
          <w:tcPr>
            <w:tcW w:type="dxa" w:w="3402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Место</w:t>
            </w:r>
          </w:p>
        </w:tc>
        <w:tc>
          <w:tcPr>
            <w:tcW w:type="dxa" w:w="11395"/>
            <w:vAlign w:val="center"/>
            <w:shd w:fill="DFE9F1"/>
          </w:tcPr>
          <w:p>
            <w:pPr>
              <w:spacing w:after="0"/>
            </w:pPr>
            <w:r>
              <w:rPr>
                <w:b/>
                <w:sz w:val="17"/>
              </w:rPr>
              <w:t>Конкретное изменение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Глава 3.3 / карбон-модуль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Указать «частичный сценарный учёт выбросов» и формулы по видам деятельности. Заменить 0,6061 на 0,813 только в расчётах с тем же периметром и периодом, пересчитать связанные таблицы.</w:t>
            </w:r>
          </w:p>
        </w:tc>
      </w:tr>
      <w:tr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Глава 3.3 / индексы</w:t>
            </w:r>
          </w:p>
        </w:tc>
        <w:tc>
          <w:tcPr>
            <w:tcW w:type="dxa" w:w="11395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Объяснить нормализацию 50/35 до 60/40, вывести надёжность в отдельный показатель. Вставить TOPSIS 17/17 по составу тройки и обе чувствительности 96,8% и 57,4%.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Глава 3.3 / ML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Разделить GroupKFold по годам и последовательную временную валидацию. Добавить сравнительную таблицу RF / ExtraTrees / Ridge / CatBoost и исторической медианы.</w:t>
            </w:r>
          </w:p>
        </w:tc>
      </w:tr>
      <w:tr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Приложение D / таблица D.8</w:t>
            </w:r>
          </w:p>
        </w:tc>
        <w:tc>
          <w:tcPr>
            <w:tcW w:type="dxa" w:w="11395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Заменить всю таблицу единой спецификацией выше; не комбинировать показатели из трёх тарифных вариантов. Сценарии SSP δ=0 оставить как недопустимые без выдуманных площадей.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Приложение E / валидация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Добавить по периодам MAE, n, TOPSIS/Weighted Sum и Monte Carlo для 17 территорий; указать границы интервалов и выборки.</w:t>
            </w:r>
          </w:p>
        </w:tc>
      </w:tr>
      <w:tr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Нормативные ссылки</w:t>
            </w:r>
          </w:p>
        </w:tc>
        <w:tc>
          <w:tcPr>
            <w:tcW w:type="dxa" w:w="11395"/>
            <w:vAlign w:val="center"/>
            <w:shd w:fill="F4F7F9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Сослаться на №288-НҚ как действующий акт с 16.09.2026 и на №108-НҚ как историческое основание исходных норм. Не заявлять полной отмены №108 без подтверждённого текста об отмене.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Акт внедрения / эффект</w:t>
            </w:r>
          </w:p>
        </w:tc>
        <w:tc>
          <w:tcPr>
            <w:tcW w:type="dxa" w:w="1139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Результат A8 назвать вычисленным сценарием типичного хозяйства. Акт внедрения не использовать вместо измерения экономии по реальным счётчикам и бухгалтерии.</w:t>
            </w:r>
          </w:p>
        </w:tc>
      </w:tr>
    </w:tbl>
    <w:p>
      <w:pPr>
        <w:pStyle w:val="Heading1"/>
      </w:pPr>
      <w:r>
        <w:t>6. Технический протокол и оставшиеся проверки</w:t>
      </w:r>
    </w:p>
    <w:p>
      <w:r>
        <w:t>Команда: PYTHONDONTWRITEBYTECODE=1 python -m pytest -q tests/ --ignore=tests/test_live_api.py. Результат последнего полного локального прогона: 316 passed. Дополнительно проверены структура 17 территорий, неизвестные значения против измеренного нуля, тип сервиса воды, запрет двойного учёта энергии, две климатические недопустимости δ=0, корректность 8 строк D.8, экспорт отчётов в PDF/Word/Excel на 3 языках тестовыми данными.</w:t>
      </w:r>
    </w:p>
    <w:p>
      <w:r>
        <w:t>Непроверенное в этой среде: Streamlit AppTest/визуальный браузер и онлайн NASA POWER, WaPOR, SoilGrids. Streamlit не был установлен и не мог быть скачан из-за отсутствия сетевого доступа. Никакой из этих тестов не объявлен выполненным.</w:t>
      </w:r>
    </w:p>
    <w:p>
      <w:r>
        <w:t>Отдельно: полная современная себестоимость всех культур и фактический эффект внедрения по BIO-AGRO/конкретным хозяйствам недоступны из открытых данных. Экономические оценки должны оставаться справочно-сценарными.</w:t>
      </w:r>
    </w:p>
    <w:p>
      <w:pPr>
        <w:pStyle w:val="Heading1"/>
      </w:pPr>
      <w:r>
        <w:t>7. Ссылки на первичные документы и основные данные</w:t>
      </w:r>
    </w:p>
    <w:p>
      <w:pPr>
        <w:spacing w:after="20"/>
      </w:pPr>
      <w:r>
        <w:rPr>
          <w:b/>
        </w:rPr>
        <w:t xml:space="preserve">Приказ №288-НҚ, 09.09.2026, действие с 16.09.2026: </w:t>
      </w:r>
      <w:r>
        <w:t>https://insecure.zan.kz/rus/docs/G26MA000288</w:t>
      </w:r>
    </w:p>
    <w:p>
      <w:pPr>
        <w:spacing w:after="20"/>
      </w:pPr>
      <w:r>
        <w:rPr>
          <w:b/>
        </w:rPr>
        <w:t xml:space="preserve">Приказ №108-НҚ, 04.06.2025, историческая табл. 3: </w:t>
      </w:r>
      <w:r>
        <w:t>https://old.adilet.zan.kz/rus/docs/V2500036253</w:t>
      </w:r>
    </w:p>
    <w:p>
      <w:pPr>
        <w:spacing w:after="20"/>
      </w:pPr>
      <w:r>
        <w:rPr>
          <w:b/>
        </w:rPr>
        <w:t xml:space="preserve">Республиканский реестр тарифов на 01.01.2026, РГП Казводхоз: </w:t>
      </w:r>
      <w:r>
        <w:t>https://www.gov.kz/memleket/entities/karaganda-tabigat/press/article/details/224741</w:t>
      </w:r>
    </w:p>
    <w:p>
      <w:pPr>
        <w:spacing w:after="20"/>
      </w:pPr>
      <w:r>
        <w:rPr>
          <w:b/>
        </w:rPr>
        <w:t xml:space="preserve">Электротариф: уведомление «Оңтүстік Жарық Транзит», 01.11.2025: </w:t>
      </w:r>
      <w:r>
        <w:t>https://hearings.ndbecology.gov.kz/Public/PubHearings/LoadFile/245313</w:t>
      </w:r>
    </w:p>
    <w:p>
      <w:pPr>
        <w:spacing w:after="20"/>
      </w:pPr>
      <w:r>
        <w:rPr>
          <w:b/>
        </w:rPr>
        <w:t xml:space="preserve">Ember: энергетика Казахстана: </w:t>
      </w:r>
      <w:r>
        <w:t>https://ember-energy.org/countries-and-regions/kazakhstan/</w:t>
      </w:r>
    </w:p>
    <w:p>
      <w:pPr>
        <w:spacing w:after="20"/>
      </w:pPr>
      <w:r>
        <w:rPr>
          <w:b/>
        </w:rPr>
        <w:t xml:space="preserve">FAO: техника и расчёт насосной энергии: </w:t>
      </w:r>
      <w:r>
        <w:t>https://www.fao.org/4/a1336e/a1336e03d.pdf</w:t>
      </w:r>
    </w:p>
    <w:p>
      <w:pPr>
        <w:spacing w:after="20"/>
      </w:pPr>
      <w:r>
        <w:rPr>
          <w:b/>
        </w:rPr>
        <w:t xml:space="preserve">IPCC 2019 Refinement, volume 4 agriculture: </w:t>
      </w:r>
      <w:r>
        <w:t>https://www.ipcc-nggip.iges.or.jp/public/2019rf/vol4.html</w:t>
      </w:r>
    </w:p>
    <w:sectPr w:rsidR="00FC693F" w:rsidRPr="0006063C" w:rsidSect="00034616">
      <w:footerReference w:type="default" r:id="rId9"/>
      <w:pgSz w:w="16838" w:h="11906" w:orient="landscape"/>
      <w:pgMar w:top="748" w:right="964" w:bottom="748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QŪNAR v0.8.1  |  научно-техническая сверка  |  18.10.2026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64E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64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Times New Roman" w:hAnsi="Times New Roman"/>
      <w:b/>
      <w:color w:val="18364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