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A8B56" w14:textId="77777777" w:rsidR="00472F47" w:rsidRDefault="00CE00AC">
      <w:pPr>
        <w:rPr>
          <w:rFonts w:hint="eastAsia"/>
        </w:rPr>
      </w:pPr>
      <w:r>
        <w:rPr>
          <w:b/>
          <w:color w:val="1D8A99"/>
          <w:sz w:val="26"/>
        </w:rPr>
        <w:t>MEDICARE</w:t>
      </w:r>
    </w:p>
    <w:p w14:paraId="7C200D0F" w14:textId="77777777" w:rsidR="00472F47" w:rsidRPr="00CD27BE" w:rsidRDefault="00CE00AC">
      <w:pPr>
        <w:pStyle w:val="Title"/>
        <w:rPr>
          <w:rFonts w:asciiTheme="minorBidi" w:hAnsiTheme="minorBidi" w:cstheme="minorBidi"/>
        </w:rPr>
      </w:pPr>
      <w:r w:rsidRPr="00CD27BE">
        <w:rPr>
          <w:rFonts w:asciiTheme="minorBidi" w:hAnsiTheme="minorBidi" w:cstheme="minorBidi"/>
        </w:rPr>
        <w:t>Literature Review</w:t>
      </w:r>
    </w:p>
    <w:p w14:paraId="74A20473" w14:textId="77777777" w:rsidR="00472F47" w:rsidRPr="00CD27BE" w:rsidRDefault="00CE00AC">
      <w:pPr>
        <w:pStyle w:val="Subtitle"/>
        <w:rPr>
          <w:rFonts w:asciiTheme="minorBidi" w:hAnsiTheme="minorBidi" w:cstheme="minorBidi"/>
        </w:rPr>
      </w:pPr>
      <w:r w:rsidRPr="00CD27BE">
        <w:rPr>
          <w:rFonts w:asciiTheme="minorBidi" w:hAnsiTheme="minorBidi" w:cstheme="minorBidi"/>
          <w:color w:val="52606D"/>
          <w:sz w:val="30"/>
        </w:rPr>
        <w:t>Digital clinic management, appointment access, and clinical workflow integration</w:t>
      </w:r>
    </w:p>
    <w:p w14:paraId="0691AC16" w14:textId="77777777" w:rsidR="00472F47" w:rsidRPr="00CD27BE" w:rsidRDefault="00CE00AC">
      <w:pPr>
        <w:rPr>
          <w:rFonts w:asciiTheme="minorBidi" w:hAnsiTheme="minorBidi"/>
        </w:rPr>
      </w:pPr>
      <w:r w:rsidRPr="00CD27BE">
        <w:rPr>
          <w:rFonts w:asciiTheme="minorBidi" w:hAnsiTheme="minorBidi"/>
        </w:rPr>
        <w:br/>
        <w:t>Prepared for the MediCare Academic Project</w:t>
      </w:r>
      <w:r w:rsidRPr="00CD27BE">
        <w:rPr>
          <w:rFonts w:asciiTheme="minorBidi" w:hAnsiTheme="minorBidi"/>
        </w:rPr>
        <w:br/>
        <w:t>October 2026</w:t>
      </w:r>
    </w:p>
    <w:p w14:paraId="1D8388A8" w14:textId="77777777" w:rsidR="00472F47" w:rsidRPr="00CD27BE" w:rsidRDefault="00CE00AC">
      <w:pPr>
        <w:pStyle w:val="Quote"/>
        <w:rPr>
          <w:rFonts w:asciiTheme="minorBidi" w:hAnsiTheme="minorBidi"/>
        </w:rPr>
      </w:pPr>
      <w:r w:rsidRPr="00CD27BE">
        <w:rPr>
          <w:rFonts w:asciiTheme="minorBidi" w:hAnsiTheme="minorBidi"/>
        </w:rPr>
        <w:br/>
        <w:t xml:space="preserve">This review examines three established healthcare platforms and uses the MediCare </w:t>
      </w:r>
      <w:r w:rsidRPr="00CD27BE">
        <w:rPr>
          <w:rFonts w:asciiTheme="minorBidi" w:hAnsiTheme="minorBidi"/>
        </w:rPr>
        <w:t>requirements baseline to define a focused contribution for outpatient clinic operations.</w:t>
      </w:r>
    </w:p>
    <w:p w14:paraId="5A1E6581" w14:textId="77777777" w:rsidR="00472F47" w:rsidRPr="00CD27BE" w:rsidRDefault="00CE00AC">
      <w:pPr>
        <w:rPr>
          <w:rFonts w:asciiTheme="minorBidi" w:hAnsiTheme="minorBidi"/>
        </w:rPr>
      </w:pPr>
      <w:r w:rsidRPr="00CD27BE">
        <w:rPr>
          <w:rFonts w:asciiTheme="minorBidi" w:hAnsiTheme="minorBidi"/>
        </w:rPr>
        <w:br w:type="page"/>
      </w:r>
    </w:p>
    <w:p w14:paraId="5B28E2D9" w14:textId="77777777" w:rsidR="00472F47" w:rsidRDefault="00CE00AC">
      <w:pPr>
        <w:pStyle w:val="Heading1"/>
      </w:pPr>
      <w:r>
        <w:lastRenderedPageBreak/>
        <w:t>Executive Summary</w:t>
      </w:r>
    </w:p>
    <w:p w14:paraId="4A9388A1" w14:textId="77777777" w:rsidR="00472F47" w:rsidRDefault="00CE00AC">
      <w:pPr>
        <w:rPr>
          <w:rFonts w:hint="eastAsia"/>
        </w:rPr>
      </w:pPr>
      <w:r>
        <w:t>Healthcare platforms increasingly combine appointment discovery, scheduling, patient communication, and practice management. The reviewed systems d</w:t>
      </w:r>
      <w:r>
        <w:t>emonstrate strong specialization: Vezeeta emphasizes patient-facing discovery and booking; Practo Ray emphasizes clinic operations and clinical records; and Zocdoc emphasizes searchable, insurance-aware appointment access. Their public materials do not est</w:t>
      </w:r>
      <w:r>
        <w:t>ablish a single, narrowly scoped platform that combines MediCare’s planned role-based clinic workflow, doctor approval, patient history, digital prescriptions, administrative analytics, and automated notifications in one academic implementation. MediCare t</w:t>
      </w:r>
      <w:r>
        <w:t>herefore contributes a maintainable outpatient clinic platform that connects these workflow needs through an N-tier architecture and explicit role boundaries.</w:t>
      </w:r>
    </w:p>
    <w:p w14:paraId="18ED749D" w14:textId="77777777" w:rsidR="00472F47" w:rsidRDefault="00CE00AC">
      <w:pPr>
        <w:pStyle w:val="Heading1"/>
      </w:pPr>
      <w:r>
        <w:t>1. Review Scope and Method</w:t>
      </w:r>
    </w:p>
    <w:p w14:paraId="689F62A1" w14:textId="77777777" w:rsidR="00472F47" w:rsidRDefault="00CE00AC">
      <w:pPr>
        <w:rPr>
          <w:rFonts w:hint="eastAsia"/>
        </w:rPr>
      </w:pPr>
      <w:r>
        <w:t>This review compares publicly described capabilities of Vezeeta, Pract</w:t>
      </w:r>
      <w:r>
        <w:t xml:space="preserve">o Ray, and Zocdoc against the MediCare project baseline. Competitor statements are limited to features documented on official product pages or official help and terms pages. MediCare statements describe planned project scope from the supplied requirements </w:t>
      </w:r>
      <w:r>
        <w:t>and project plan; they are not claims about a deployed product.</w:t>
      </w:r>
    </w:p>
    <w:p w14:paraId="4597B226" w14:textId="77777777" w:rsidR="00472F47" w:rsidRDefault="00CE00AC">
      <w:pPr>
        <w:rPr>
          <w:rFonts w:hint="eastAsia"/>
        </w:rPr>
      </w:pPr>
      <w:r>
        <w:t xml:space="preserve">The comparison focuses on: patient access and booking; provider scheduling and clinical workflow; patient records and prescriptions; communication; administrative oversight; and architectural </w:t>
      </w:r>
      <w:r>
        <w:t>or scope implications for an academic clinic-management system.</w:t>
      </w:r>
    </w:p>
    <w:p w14:paraId="679A38B7" w14:textId="77777777" w:rsidR="00472F47" w:rsidRDefault="00CE00AC">
      <w:pPr>
        <w:pStyle w:val="Heading1"/>
      </w:pPr>
      <w:r>
        <w:t>2. Vezeeta</w:t>
      </w:r>
    </w:p>
    <w:p w14:paraId="227EA750" w14:textId="77777777" w:rsidR="00472F47" w:rsidRDefault="00CE00AC">
      <w:pPr>
        <w:rPr>
          <w:rFonts w:hint="eastAsia"/>
        </w:rPr>
      </w:pPr>
      <w:r>
        <w:t>Vezeeta presents itself as a patient-oriented healthcare marketplace. Its public homepage describes doctor discovery and booking, patient reviews, medical questions, pharmacy servic</w:t>
      </w:r>
      <w:r>
        <w:t>es, and related healthcare services. This positioning makes Vezeeta a useful reference for the patient journey: search, evaluate, and request care through an accessible consumer interface (Vezeeta, 2026).</w:t>
      </w:r>
    </w:p>
    <w:p w14:paraId="6FE571F0" w14:textId="77777777" w:rsidR="00472F47" w:rsidRDefault="00CE00AC">
      <w:pPr>
        <w:rPr>
          <w:rFonts w:hint="eastAsia"/>
        </w:rPr>
      </w:pPr>
      <w:r>
        <w:t>For MediCare, the relevant lesson is the value of a</w:t>
      </w:r>
      <w:r>
        <w:t xml:space="preserve"> clear specialist directory, availability-led booking, and patient-facing trust information. The public page does not by itself establish the complete internal clinic workflow, approval process, or academic architecture that MediCare plans to implement; th</w:t>
      </w:r>
      <w:r>
        <w:t>ose areas should therefore be treated as MediCare design decisions rather than copied competitor features.</w:t>
      </w:r>
    </w:p>
    <w:p w14:paraId="50510823" w14:textId="77777777" w:rsidR="00472F47" w:rsidRDefault="00CE00AC">
      <w:pPr>
        <w:pStyle w:val="Heading1"/>
      </w:pPr>
      <w:r>
        <w:t>3. Practo Ray</w:t>
      </w:r>
    </w:p>
    <w:p w14:paraId="4FB1FB9C" w14:textId="77777777" w:rsidR="00472F47" w:rsidRDefault="00CE00AC">
      <w:pPr>
        <w:rPr>
          <w:rFonts w:hint="eastAsia"/>
        </w:rPr>
      </w:pPr>
      <w:r>
        <w:t>Practo Ray is positioned as clinic-management software. Practo’s provider materials describe appointment scheduling, automated appointm</w:t>
      </w:r>
      <w:r>
        <w:t>ent SMS, rescheduling and cancellation support, patient health records, payments, follow-up communication, and practice-management capabilities. Official terms also describe booking appointments, reminders, clinical notes, prescriptions, and bills or invoi</w:t>
      </w:r>
      <w:r>
        <w:t>ces as Ray functions (Practo, 2026a; Practo, 2026b).</w:t>
      </w:r>
    </w:p>
    <w:p w14:paraId="7A0E61CA" w14:textId="77777777" w:rsidR="00472F47" w:rsidRDefault="00CE00AC">
      <w:pPr>
        <w:rPr>
          <w:rFonts w:hint="eastAsia"/>
        </w:rPr>
      </w:pPr>
      <w:r>
        <w:t xml:space="preserve">Ray is the closest comparator for MediCare’s provider-side workflow. Its breadth suggests that scheduling, records, prescriptions, and communication should be designed as connected workflows rather than </w:t>
      </w:r>
      <w:r>
        <w:t>isolated screens. At the same time, MediCare’s academic scope excludes payment gateway processing and native mobile apps in this phase, so those Ray-adjacent capabilities are outside the proposed contribution.</w:t>
      </w:r>
    </w:p>
    <w:p w14:paraId="14CA8596" w14:textId="77777777" w:rsidR="00472F47" w:rsidRDefault="00CE00AC">
      <w:pPr>
        <w:pStyle w:val="Heading1"/>
      </w:pPr>
      <w:r>
        <w:t>4. Zocdoc</w:t>
      </w:r>
    </w:p>
    <w:p w14:paraId="38738111" w14:textId="77777777" w:rsidR="00472F47" w:rsidRDefault="00CE00AC">
      <w:pPr>
        <w:rPr>
          <w:rFonts w:hint="eastAsia"/>
        </w:rPr>
      </w:pPr>
      <w:r>
        <w:t>Zocdoc’s public service emphasizes f</w:t>
      </w:r>
      <w:r>
        <w:t xml:space="preserve">inding in-network doctors, searching across insurance plans, viewing appointment times, and booking online, including in-person and video visits. This is a strong reference for </w:t>
      </w:r>
      <w:r>
        <w:lastRenderedPageBreak/>
        <w:t>reducing friction at the point of access and for representing availability in a</w:t>
      </w:r>
      <w:r>
        <w:t xml:space="preserve"> way patients can act on immediately (Zocdoc, 2026).</w:t>
      </w:r>
    </w:p>
    <w:p w14:paraId="422B3E25" w14:textId="77777777" w:rsidR="00472F47" w:rsidRDefault="00CE00AC">
      <w:pPr>
        <w:rPr>
          <w:rFonts w:hint="eastAsia"/>
        </w:rPr>
      </w:pPr>
      <w:r>
        <w:t>MediCare can adopt the usability principle of availability-led discovery while keeping its context narrower: an outpatient clinic system with patient, doctor, and administrator roles. Insurance-plan sear</w:t>
      </w:r>
      <w:r>
        <w:t>ch and marketplace scale are not included in the supplied MediCare scope and should not be presented as planned features.</w:t>
      </w:r>
    </w:p>
    <w:p w14:paraId="0FFBEA89" w14:textId="77777777" w:rsidR="00472F47" w:rsidRDefault="00CE00AC">
      <w:pPr>
        <w:pStyle w:val="Heading1"/>
      </w:pPr>
      <w:r>
        <w:t>5. Comparative Analysis</w:t>
      </w:r>
    </w:p>
    <w:tbl>
      <w:tblPr>
        <w:tblStyle w:val="TableGrid"/>
        <w:tblW w:w="0" w:type="auto"/>
        <w:jc w:val="center"/>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Look w:val="04A0" w:firstRow="1" w:lastRow="0" w:firstColumn="1" w:lastColumn="0" w:noHBand="0" w:noVBand="1"/>
      </w:tblPr>
      <w:tblGrid>
        <w:gridCol w:w="1958"/>
        <w:gridCol w:w="1958"/>
        <w:gridCol w:w="1958"/>
        <w:gridCol w:w="1958"/>
        <w:gridCol w:w="1958"/>
      </w:tblGrid>
      <w:tr w:rsidR="00472F47" w14:paraId="3BA27908" w14:textId="77777777">
        <w:trPr>
          <w:jc w:val="center"/>
        </w:trPr>
        <w:tc>
          <w:tcPr>
            <w:tcW w:w="1958" w:type="dxa"/>
            <w:shd w:val="clear" w:color="auto" w:fill="16324F"/>
            <w:vAlign w:val="center"/>
          </w:tcPr>
          <w:p w14:paraId="4E613C1F" w14:textId="77777777" w:rsidR="00472F47" w:rsidRDefault="00CE00AC">
            <w:pPr>
              <w:rPr>
                <w:rFonts w:hint="eastAsia"/>
              </w:rPr>
            </w:pPr>
            <w:r>
              <w:rPr>
                <w:b/>
                <w:color w:val="FFFFFF"/>
                <w:sz w:val="18"/>
              </w:rPr>
              <w:t>Criterion</w:t>
            </w:r>
          </w:p>
        </w:tc>
        <w:tc>
          <w:tcPr>
            <w:tcW w:w="1958" w:type="dxa"/>
            <w:shd w:val="clear" w:color="auto" w:fill="16324F"/>
            <w:vAlign w:val="center"/>
          </w:tcPr>
          <w:p w14:paraId="034C4D81" w14:textId="77777777" w:rsidR="00472F47" w:rsidRDefault="00CE00AC">
            <w:pPr>
              <w:rPr>
                <w:rFonts w:hint="eastAsia"/>
              </w:rPr>
            </w:pPr>
            <w:r>
              <w:rPr>
                <w:b/>
                <w:color w:val="FFFFFF"/>
                <w:sz w:val="18"/>
              </w:rPr>
              <w:t>Vezeeta</w:t>
            </w:r>
          </w:p>
        </w:tc>
        <w:tc>
          <w:tcPr>
            <w:tcW w:w="1958" w:type="dxa"/>
            <w:shd w:val="clear" w:color="auto" w:fill="16324F"/>
            <w:vAlign w:val="center"/>
          </w:tcPr>
          <w:p w14:paraId="2145F1FB" w14:textId="77777777" w:rsidR="00472F47" w:rsidRDefault="00CE00AC">
            <w:pPr>
              <w:rPr>
                <w:rFonts w:hint="eastAsia"/>
              </w:rPr>
            </w:pPr>
            <w:r>
              <w:rPr>
                <w:b/>
                <w:color w:val="FFFFFF"/>
                <w:sz w:val="18"/>
              </w:rPr>
              <w:t>Practo Ray</w:t>
            </w:r>
          </w:p>
        </w:tc>
        <w:tc>
          <w:tcPr>
            <w:tcW w:w="1958" w:type="dxa"/>
            <w:shd w:val="clear" w:color="auto" w:fill="16324F"/>
            <w:vAlign w:val="center"/>
          </w:tcPr>
          <w:p w14:paraId="1360F2CB" w14:textId="77777777" w:rsidR="00472F47" w:rsidRDefault="00CE00AC">
            <w:pPr>
              <w:rPr>
                <w:rFonts w:hint="eastAsia"/>
              </w:rPr>
            </w:pPr>
            <w:r>
              <w:rPr>
                <w:b/>
                <w:color w:val="FFFFFF"/>
                <w:sz w:val="18"/>
              </w:rPr>
              <w:t>Zocdoc</w:t>
            </w:r>
          </w:p>
        </w:tc>
        <w:tc>
          <w:tcPr>
            <w:tcW w:w="1958" w:type="dxa"/>
            <w:shd w:val="clear" w:color="auto" w:fill="16324F"/>
            <w:vAlign w:val="center"/>
          </w:tcPr>
          <w:p w14:paraId="094F209A" w14:textId="77777777" w:rsidR="00472F47" w:rsidRDefault="00CE00AC">
            <w:pPr>
              <w:rPr>
                <w:rFonts w:hint="eastAsia"/>
              </w:rPr>
            </w:pPr>
            <w:r>
              <w:rPr>
                <w:b/>
                <w:color w:val="FFFFFF"/>
                <w:sz w:val="18"/>
              </w:rPr>
              <w:t>MediCare planned contribution</w:t>
            </w:r>
          </w:p>
        </w:tc>
      </w:tr>
      <w:tr w:rsidR="00472F47" w14:paraId="39DF4617" w14:textId="77777777">
        <w:trPr>
          <w:jc w:val="center"/>
        </w:trPr>
        <w:tc>
          <w:tcPr>
            <w:tcW w:w="1958" w:type="dxa"/>
            <w:vAlign w:val="center"/>
          </w:tcPr>
          <w:p w14:paraId="6309ED83" w14:textId="77777777" w:rsidR="00472F47" w:rsidRDefault="00CE00AC">
            <w:pPr>
              <w:spacing w:after="60"/>
              <w:rPr>
                <w:rFonts w:hint="eastAsia"/>
              </w:rPr>
            </w:pPr>
            <w:r>
              <w:rPr>
                <w:sz w:val="18"/>
              </w:rPr>
              <w:t>Primary orientation</w:t>
            </w:r>
          </w:p>
        </w:tc>
        <w:tc>
          <w:tcPr>
            <w:tcW w:w="1958" w:type="dxa"/>
            <w:vAlign w:val="center"/>
          </w:tcPr>
          <w:p w14:paraId="0EE9B0FB" w14:textId="77777777" w:rsidR="00472F47" w:rsidRDefault="00CE00AC">
            <w:pPr>
              <w:spacing w:after="60"/>
              <w:rPr>
                <w:rFonts w:hint="eastAsia"/>
              </w:rPr>
            </w:pPr>
            <w:r>
              <w:rPr>
                <w:sz w:val="18"/>
              </w:rPr>
              <w:t xml:space="preserve">Patient </w:t>
            </w:r>
            <w:r>
              <w:rPr>
                <w:sz w:val="18"/>
              </w:rPr>
              <w:t>discovery and healthcare marketplace</w:t>
            </w:r>
          </w:p>
        </w:tc>
        <w:tc>
          <w:tcPr>
            <w:tcW w:w="1958" w:type="dxa"/>
            <w:vAlign w:val="center"/>
          </w:tcPr>
          <w:p w14:paraId="3637405C" w14:textId="77777777" w:rsidR="00472F47" w:rsidRDefault="00CE00AC">
            <w:pPr>
              <w:spacing w:after="60"/>
              <w:rPr>
                <w:rFonts w:hint="eastAsia"/>
              </w:rPr>
            </w:pPr>
            <w:r>
              <w:rPr>
                <w:sz w:val="18"/>
              </w:rPr>
              <w:t>Clinic and practice management</w:t>
            </w:r>
          </w:p>
        </w:tc>
        <w:tc>
          <w:tcPr>
            <w:tcW w:w="1958" w:type="dxa"/>
            <w:vAlign w:val="center"/>
          </w:tcPr>
          <w:p w14:paraId="00ACE596" w14:textId="77777777" w:rsidR="00472F47" w:rsidRDefault="00CE00AC">
            <w:pPr>
              <w:spacing w:after="60"/>
              <w:rPr>
                <w:rFonts w:hint="eastAsia"/>
              </w:rPr>
            </w:pPr>
            <w:r>
              <w:rPr>
                <w:sz w:val="18"/>
              </w:rPr>
              <w:t>Patient discovery with insurance-aware booking</w:t>
            </w:r>
          </w:p>
        </w:tc>
        <w:tc>
          <w:tcPr>
            <w:tcW w:w="1958" w:type="dxa"/>
            <w:vAlign w:val="center"/>
          </w:tcPr>
          <w:p w14:paraId="03F06F02" w14:textId="77777777" w:rsidR="00472F47" w:rsidRDefault="00CE00AC">
            <w:pPr>
              <w:spacing w:after="60"/>
              <w:rPr>
                <w:rFonts w:hint="eastAsia"/>
              </w:rPr>
            </w:pPr>
            <w:r>
              <w:rPr>
                <w:sz w:val="18"/>
              </w:rPr>
              <w:t>Integrated outpatient clinic workflow</w:t>
            </w:r>
          </w:p>
        </w:tc>
      </w:tr>
      <w:tr w:rsidR="00472F47" w14:paraId="53EE0A8D" w14:textId="77777777">
        <w:trPr>
          <w:jc w:val="center"/>
        </w:trPr>
        <w:tc>
          <w:tcPr>
            <w:tcW w:w="1958" w:type="dxa"/>
            <w:shd w:val="clear" w:color="auto" w:fill="F3F7F9"/>
            <w:vAlign w:val="center"/>
          </w:tcPr>
          <w:p w14:paraId="4590C5B1" w14:textId="77777777" w:rsidR="00472F47" w:rsidRDefault="00CE00AC">
            <w:pPr>
              <w:spacing w:after="60"/>
              <w:rPr>
                <w:rFonts w:hint="eastAsia"/>
              </w:rPr>
            </w:pPr>
            <w:r>
              <w:rPr>
                <w:sz w:val="18"/>
              </w:rPr>
              <w:t>Appointment access</w:t>
            </w:r>
          </w:p>
        </w:tc>
        <w:tc>
          <w:tcPr>
            <w:tcW w:w="1958" w:type="dxa"/>
            <w:shd w:val="clear" w:color="auto" w:fill="F3F7F9"/>
            <w:vAlign w:val="center"/>
          </w:tcPr>
          <w:p w14:paraId="5DFCF004" w14:textId="77777777" w:rsidR="00472F47" w:rsidRDefault="00CE00AC">
            <w:pPr>
              <w:spacing w:after="60"/>
              <w:rPr>
                <w:rFonts w:hint="eastAsia"/>
              </w:rPr>
            </w:pPr>
            <w:r>
              <w:rPr>
                <w:sz w:val="18"/>
              </w:rPr>
              <w:t>Doctor/service discovery and booking described publicly</w:t>
            </w:r>
          </w:p>
        </w:tc>
        <w:tc>
          <w:tcPr>
            <w:tcW w:w="1958" w:type="dxa"/>
            <w:shd w:val="clear" w:color="auto" w:fill="F3F7F9"/>
            <w:vAlign w:val="center"/>
          </w:tcPr>
          <w:p w14:paraId="4B90A5B1" w14:textId="77777777" w:rsidR="00472F47" w:rsidRDefault="00CE00AC">
            <w:pPr>
              <w:spacing w:after="60"/>
              <w:rPr>
                <w:rFonts w:hint="eastAsia"/>
              </w:rPr>
            </w:pPr>
            <w:r>
              <w:rPr>
                <w:sz w:val="18"/>
              </w:rPr>
              <w:t>Scheduling, reminders, resc</w:t>
            </w:r>
            <w:r>
              <w:rPr>
                <w:sz w:val="18"/>
              </w:rPr>
              <w:t>heduling and cancellations</w:t>
            </w:r>
          </w:p>
        </w:tc>
        <w:tc>
          <w:tcPr>
            <w:tcW w:w="1958" w:type="dxa"/>
            <w:shd w:val="clear" w:color="auto" w:fill="F3F7F9"/>
            <w:vAlign w:val="center"/>
          </w:tcPr>
          <w:p w14:paraId="073141C9" w14:textId="77777777" w:rsidR="00472F47" w:rsidRDefault="00CE00AC">
            <w:pPr>
              <w:spacing w:after="60"/>
              <w:rPr>
                <w:rFonts w:hint="eastAsia"/>
              </w:rPr>
            </w:pPr>
            <w:r>
              <w:rPr>
                <w:sz w:val="18"/>
              </w:rPr>
              <w:t>Search and online booking with available times</w:t>
            </w:r>
          </w:p>
        </w:tc>
        <w:tc>
          <w:tcPr>
            <w:tcW w:w="1958" w:type="dxa"/>
            <w:shd w:val="clear" w:color="auto" w:fill="F3F7F9"/>
            <w:vAlign w:val="center"/>
          </w:tcPr>
          <w:p w14:paraId="07B55E44" w14:textId="77777777" w:rsidR="00472F47" w:rsidRDefault="00CE00AC">
            <w:pPr>
              <w:spacing w:after="60"/>
              <w:rPr>
                <w:rFonts w:hint="eastAsia"/>
              </w:rPr>
            </w:pPr>
            <w:r>
              <w:rPr>
                <w:sz w:val="18"/>
              </w:rPr>
              <w:t>Specialist search, open slots, booking, cancellation and conflict detection</w:t>
            </w:r>
          </w:p>
        </w:tc>
      </w:tr>
      <w:tr w:rsidR="00472F47" w14:paraId="263DC7EB" w14:textId="77777777">
        <w:trPr>
          <w:jc w:val="center"/>
        </w:trPr>
        <w:tc>
          <w:tcPr>
            <w:tcW w:w="1958" w:type="dxa"/>
            <w:vAlign w:val="center"/>
          </w:tcPr>
          <w:p w14:paraId="6E17B7BC" w14:textId="77777777" w:rsidR="00472F47" w:rsidRDefault="00CE00AC">
            <w:pPr>
              <w:spacing w:after="60"/>
              <w:rPr>
                <w:rFonts w:hint="eastAsia"/>
              </w:rPr>
            </w:pPr>
            <w:r>
              <w:rPr>
                <w:sz w:val="18"/>
              </w:rPr>
              <w:t>Clinical workflow</w:t>
            </w:r>
          </w:p>
        </w:tc>
        <w:tc>
          <w:tcPr>
            <w:tcW w:w="1958" w:type="dxa"/>
            <w:vAlign w:val="center"/>
          </w:tcPr>
          <w:p w14:paraId="1EF09272" w14:textId="77777777" w:rsidR="00472F47" w:rsidRDefault="00CE00AC">
            <w:pPr>
              <w:spacing w:after="60"/>
              <w:rPr>
                <w:rFonts w:hint="eastAsia"/>
              </w:rPr>
            </w:pPr>
            <w:r>
              <w:rPr>
                <w:sz w:val="18"/>
              </w:rPr>
              <w:t>Not established by reviewed public homepage</w:t>
            </w:r>
          </w:p>
        </w:tc>
        <w:tc>
          <w:tcPr>
            <w:tcW w:w="1958" w:type="dxa"/>
            <w:vAlign w:val="center"/>
          </w:tcPr>
          <w:p w14:paraId="0E2EEFAA" w14:textId="77777777" w:rsidR="00472F47" w:rsidRDefault="00CE00AC">
            <w:pPr>
              <w:spacing w:after="60"/>
              <w:rPr>
                <w:rFonts w:hint="eastAsia"/>
              </w:rPr>
            </w:pPr>
            <w:r>
              <w:rPr>
                <w:sz w:val="18"/>
              </w:rPr>
              <w:t xml:space="preserve">Clinical notes, records and </w:t>
            </w:r>
            <w:r>
              <w:rPr>
                <w:sz w:val="18"/>
              </w:rPr>
              <w:t>prescriptions described</w:t>
            </w:r>
          </w:p>
        </w:tc>
        <w:tc>
          <w:tcPr>
            <w:tcW w:w="1958" w:type="dxa"/>
            <w:vAlign w:val="center"/>
          </w:tcPr>
          <w:p w14:paraId="39AD14D7" w14:textId="77777777" w:rsidR="00472F47" w:rsidRDefault="00CE00AC">
            <w:pPr>
              <w:spacing w:after="60"/>
              <w:rPr>
                <w:rFonts w:hint="eastAsia"/>
              </w:rPr>
            </w:pPr>
            <w:r>
              <w:rPr>
                <w:sz w:val="18"/>
              </w:rPr>
              <w:t>Clinical workflow not the primary public positioning</w:t>
            </w:r>
          </w:p>
        </w:tc>
        <w:tc>
          <w:tcPr>
            <w:tcW w:w="1958" w:type="dxa"/>
            <w:vAlign w:val="center"/>
          </w:tcPr>
          <w:p w14:paraId="40054BE8" w14:textId="77777777" w:rsidR="00472F47" w:rsidRDefault="00CE00AC">
            <w:pPr>
              <w:spacing w:after="60"/>
              <w:rPr>
                <w:rFonts w:hint="eastAsia"/>
              </w:rPr>
            </w:pPr>
            <w:r>
              <w:rPr>
                <w:sz w:val="18"/>
              </w:rPr>
              <w:t>EHR-style visit records, history, document uploads and digital prescriptions</w:t>
            </w:r>
          </w:p>
        </w:tc>
      </w:tr>
      <w:tr w:rsidR="00472F47" w14:paraId="30B16490" w14:textId="77777777">
        <w:trPr>
          <w:jc w:val="center"/>
        </w:trPr>
        <w:tc>
          <w:tcPr>
            <w:tcW w:w="1958" w:type="dxa"/>
            <w:shd w:val="clear" w:color="auto" w:fill="F3F7F9"/>
            <w:vAlign w:val="center"/>
          </w:tcPr>
          <w:p w14:paraId="2B2B4489" w14:textId="77777777" w:rsidR="00472F47" w:rsidRDefault="00CE00AC">
            <w:pPr>
              <w:spacing w:after="60"/>
              <w:rPr>
                <w:rFonts w:hint="eastAsia"/>
              </w:rPr>
            </w:pPr>
            <w:r>
              <w:rPr>
                <w:sz w:val="18"/>
              </w:rPr>
              <w:t>Communication</w:t>
            </w:r>
          </w:p>
        </w:tc>
        <w:tc>
          <w:tcPr>
            <w:tcW w:w="1958" w:type="dxa"/>
            <w:shd w:val="clear" w:color="auto" w:fill="F3F7F9"/>
            <w:vAlign w:val="center"/>
          </w:tcPr>
          <w:p w14:paraId="35F0FE28" w14:textId="77777777" w:rsidR="00472F47" w:rsidRDefault="00CE00AC">
            <w:pPr>
              <w:spacing w:after="60"/>
              <w:rPr>
                <w:rFonts w:hint="eastAsia"/>
              </w:rPr>
            </w:pPr>
            <w:r>
              <w:rPr>
                <w:sz w:val="18"/>
              </w:rPr>
              <w:t>Patient-facing service interactions described</w:t>
            </w:r>
          </w:p>
        </w:tc>
        <w:tc>
          <w:tcPr>
            <w:tcW w:w="1958" w:type="dxa"/>
            <w:shd w:val="clear" w:color="auto" w:fill="F3F7F9"/>
            <w:vAlign w:val="center"/>
          </w:tcPr>
          <w:p w14:paraId="79531BD2" w14:textId="77777777" w:rsidR="00472F47" w:rsidRDefault="00CE00AC">
            <w:pPr>
              <w:spacing w:after="60"/>
              <w:rPr>
                <w:rFonts w:hint="eastAsia"/>
              </w:rPr>
            </w:pPr>
            <w:r>
              <w:rPr>
                <w:sz w:val="18"/>
              </w:rPr>
              <w:t xml:space="preserve">Automated SMS and follow-up </w:t>
            </w:r>
            <w:r>
              <w:rPr>
                <w:sz w:val="18"/>
              </w:rPr>
              <w:t>communication</w:t>
            </w:r>
          </w:p>
        </w:tc>
        <w:tc>
          <w:tcPr>
            <w:tcW w:w="1958" w:type="dxa"/>
            <w:shd w:val="clear" w:color="auto" w:fill="F3F7F9"/>
            <w:vAlign w:val="center"/>
          </w:tcPr>
          <w:p w14:paraId="045F3896" w14:textId="77777777" w:rsidR="00472F47" w:rsidRDefault="00CE00AC">
            <w:pPr>
              <w:spacing w:after="60"/>
              <w:rPr>
                <w:rFonts w:hint="eastAsia"/>
              </w:rPr>
            </w:pPr>
            <w:r>
              <w:rPr>
                <w:sz w:val="18"/>
              </w:rPr>
              <w:t>Appointment tracking and reminders described</w:t>
            </w:r>
          </w:p>
        </w:tc>
        <w:tc>
          <w:tcPr>
            <w:tcW w:w="1958" w:type="dxa"/>
            <w:shd w:val="clear" w:color="auto" w:fill="F3F7F9"/>
            <w:vAlign w:val="center"/>
          </w:tcPr>
          <w:p w14:paraId="540A782E" w14:textId="77777777" w:rsidR="00472F47" w:rsidRDefault="00CE00AC">
            <w:pPr>
              <w:spacing w:after="60"/>
              <w:rPr>
                <w:rFonts w:hint="eastAsia"/>
              </w:rPr>
            </w:pPr>
            <w:r>
              <w:rPr>
                <w:sz w:val="18"/>
              </w:rPr>
              <w:t>SignalR notifications plus planned SMS and email reminders</w:t>
            </w:r>
          </w:p>
        </w:tc>
      </w:tr>
      <w:tr w:rsidR="00472F47" w14:paraId="3EE068E6" w14:textId="77777777">
        <w:trPr>
          <w:jc w:val="center"/>
        </w:trPr>
        <w:tc>
          <w:tcPr>
            <w:tcW w:w="1958" w:type="dxa"/>
            <w:vAlign w:val="center"/>
          </w:tcPr>
          <w:p w14:paraId="206BB8B6" w14:textId="77777777" w:rsidR="00472F47" w:rsidRDefault="00CE00AC">
            <w:pPr>
              <w:spacing w:after="60"/>
              <w:rPr>
                <w:rFonts w:hint="eastAsia"/>
              </w:rPr>
            </w:pPr>
            <w:r>
              <w:rPr>
                <w:sz w:val="18"/>
              </w:rPr>
              <w:t>Administration</w:t>
            </w:r>
          </w:p>
        </w:tc>
        <w:tc>
          <w:tcPr>
            <w:tcW w:w="1958" w:type="dxa"/>
            <w:vAlign w:val="center"/>
          </w:tcPr>
          <w:p w14:paraId="5F99F422" w14:textId="77777777" w:rsidR="00472F47" w:rsidRDefault="00CE00AC">
            <w:pPr>
              <w:spacing w:after="60"/>
              <w:rPr>
                <w:rFonts w:hint="eastAsia"/>
              </w:rPr>
            </w:pPr>
            <w:r>
              <w:rPr>
                <w:sz w:val="18"/>
              </w:rPr>
              <w:t>Marketplace/service operations</w:t>
            </w:r>
          </w:p>
        </w:tc>
        <w:tc>
          <w:tcPr>
            <w:tcW w:w="1958" w:type="dxa"/>
            <w:vAlign w:val="center"/>
          </w:tcPr>
          <w:p w14:paraId="3037AA46" w14:textId="77777777" w:rsidR="00472F47" w:rsidRDefault="00CE00AC">
            <w:pPr>
              <w:spacing w:after="60"/>
              <w:rPr>
                <w:rFonts w:hint="eastAsia"/>
              </w:rPr>
            </w:pPr>
            <w:r>
              <w:rPr>
                <w:sz w:val="18"/>
              </w:rPr>
              <w:t>Practice operations and reporting features described</w:t>
            </w:r>
          </w:p>
        </w:tc>
        <w:tc>
          <w:tcPr>
            <w:tcW w:w="1958" w:type="dxa"/>
            <w:vAlign w:val="center"/>
          </w:tcPr>
          <w:p w14:paraId="628C04D0" w14:textId="77777777" w:rsidR="00472F47" w:rsidRDefault="00CE00AC">
            <w:pPr>
              <w:spacing w:after="60"/>
              <w:rPr>
                <w:rFonts w:hint="eastAsia"/>
              </w:rPr>
            </w:pPr>
            <w:r>
              <w:rPr>
                <w:sz w:val="18"/>
              </w:rPr>
              <w:t>Marketplace/provider access model</w:t>
            </w:r>
          </w:p>
        </w:tc>
        <w:tc>
          <w:tcPr>
            <w:tcW w:w="1958" w:type="dxa"/>
            <w:vAlign w:val="center"/>
          </w:tcPr>
          <w:p w14:paraId="30A1810C" w14:textId="77777777" w:rsidR="00472F47" w:rsidRDefault="00CE00AC">
            <w:pPr>
              <w:spacing w:after="60"/>
              <w:rPr>
                <w:rFonts w:hint="eastAsia"/>
              </w:rPr>
            </w:pPr>
            <w:r>
              <w:rPr>
                <w:sz w:val="18"/>
              </w:rPr>
              <w:t>Doct</w:t>
            </w:r>
            <w:r>
              <w:rPr>
                <w:sz w:val="18"/>
              </w:rPr>
              <w:t>or registration approval, role management and visual analytics</w:t>
            </w:r>
          </w:p>
        </w:tc>
      </w:tr>
      <w:tr w:rsidR="00472F47" w14:paraId="4664D216" w14:textId="77777777">
        <w:trPr>
          <w:jc w:val="center"/>
        </w:trPr>
        <w:tc>
          <w:tcPr>
            <w:tcW w:w="1958" w:type="dxa"/>
            <w:shd w:val="clear" w:color="auto" w:fill="F3F7F9"/>
            <w:vAlign w:val="center"/>
          </w:tcPr>
          <w:p w14:paraId="42251A98" w14:textId="77777777" w:rsidR="00472F47" w:rsidRDefault="00CE00AC">
            <w:pPr>
              <w:spacing w:after="60"/>
              <w:rPr>
                <w:rFonts w:hint="eastAsia"/>
              </w:rPr>
            </w:pPr>
            <w:r>
              <w:rPr>
                <w:sz w:val="18"/>
              </w:rPr>
              <w:t>Scope boundary</w:t>
            </w:r>
          </w:p>
        </w:tc>
        <w:tc>
          <w:tcPr>
            <w:tcW w:w="1958" w:type="dxa"/>
            <w:shd w:val="clear" w:color="auto" w:fill="F3F7F9"/>
            <w:vAlign w:val="center"/>
          </w:tcPr>
          <w:p w14:paraId="247A074C" w14:textId="77777777" w:rsidR="00472F47" w:rsidRDefault="00CE00AC">
            <w:pPr>
              <w:spacing w:after="60"/>
              <w:rPr>
                <w:rFonts w:hint="eastAsia"/>
              </w:rPr>
            </w:pPr>
            <w:r>
              <w:rPr>
                <w:sz w:val="18"/>
              </w:rPr>
              <w:t>Broad consumer health services</w:t>
            </w:r>
          </w:p>
        </w:tc>
        <w:tc>
          <w:tcPr>
            <w:tcW w:w="1958" w:type="dxa"/>
            <w:shd w:val="clear" w:color="auto" w:fill="F3F7F9"/>
            <w:vAlign w:val="center"/>
          </w:tcPr>
          <w:p w14:paraId="7876AC6C" w14:textId="77777777" w:rsidR="00472F47" w:rsidRDefault="00CE00AC">
            <w:pPr>
              <w:spacing w:after="60"/>
              <w:rPr>
                <w:rFonts w:hint="eastAsia"/>
              </w:rPr>
            </w:pPr>
            <w:r>
              <w:rPr>
                <w:sz w:val="18"/>
              </w:rPr>
              <w:t>Broad commercial practice-management suite</w:t>
            </w:r>
          </w:p>
        </w:tc>
        <w:tc>
          <w:tcPr>
            <w:tcW w:w="1958" w:type="dxa"/>
            <w:shd w:val="clear" w:color="auto" w:fill="F3F7F9"/>
            <w:vAlign w:val="center"/>
          </w:tcPr>
          <w:p w14:paraId="7BC1A5D0" w14:textId="77777777" w:rsidR="00472F47" w:rsidRDefault="00CE00AC">
            <w:pPr>
              <w:spacing w:after="60"/>
              <w:rPr>
                <w:rFonts w:hint="eastAsia"/>
              </w:rPr>
            </w:pPr>
            <w:r>
              <w:rPr>
                <w:sz w:val="18"/>
              </w:rPr>
              <w:t>Broad marketplace and insurance context</w:t>
            </w:r>
          </w:p>
        </w:tc>
        <w:tc>
          <w:tcPr>
            <w:tcW w:w="1958" w:type="dxa"/>
            <w:shd w:val="clear" w:color="auto" w:fill="F3F7F9"/>
            <w:vAlign w:val="center"/>
          </w:tcPr>
          <w:p w14:paraId="4F03230F" w14:textId="77777777" w:rsidR="00472F47" w:rsidRDefault="00CE00AC">
            <w:pPr>
              <w:spacing w:after="60"/>
              <w:rPr>
                <w:rFonts w:hint="eastAsia"/>
              </w:rPr>
            </w:pPr>
            <w:r>
              <w:rPr>
                <w:sz w:val="18"/>
              </w:rPr>
              <w:t xml:space="preserve">Academic, clinic-focused implementation; payments and </w:t>
            </w:r>
            <w:r>
              <w:rPr>
                <w:sz w:val="18"/>
              </w:rPr>
              <w:t>native apps out of scope</w:t>
            </w:r>
          </w:p>
        </w:tc>
      </w:tr>
    </w:tbl>
    <w:p w14:paraId="24DC7574" w14:textId="77777777" w:rsidR="00472F47" w:rsidRDefault="00CE00AC">
      <w:pPr>
        <w:pStyle w:val="Heading1"/>
      </w:pPr>
      <w:r>
        <w:t>6. Research Gap</w:t>
      </w:r>
    </w:p>
    <w:p w14:paraId="3892A65A" w14:textId="77777777" w:rsidR="00472F47" w:rsidRDefault="00CE00AC">
      <w:pPr>
        <w:rPr>
          <w:rFonts w:hint="eastAsia"/>
        </w:rPr>
      </w:pPr>
      <w:r>
        <w:t>The reviewed platforms cover important parts of the healthcare access and practice-management landscape, but their public positioning is divided across marketplace access, commercial clinic operations, and insuranc</w:t>
      </w:r>
      <w:r>
        <w:t>e-aware booking. For the MediCare project, the gap is a compact, role-based outpatient clinic system that makes the complete path explicit: approved doctor onboarding; searchable availability; conflict-aware appointment booking; visit records and prescript</w:t>
      </w:r>
      <w:r>
        <w:t>ions; patient history access; automated status communication; and administrator analytics. The gap is architectural and workflow-oriented rather than a claim that competitors lack any individual feature.</w:t>
      </w:r>
    </w:p>
    <w:p w14:paraId="6D04A1E9" w14:textId="77777777" w:rsidR="00472F47" w:rsidRDefault="00CE00AC">
      <w:pPr>
        <w:pStyle w:val="Heading1"/>
      </w:pPr>
      <w:r>
        <w:t>7. Proposed MediCare Contribution</w:t>
      </w:r>
    </w:p>
    <w:p w14:paraId="65C451F7" w14:textId="77777777" w:rsidR="00472F47" w:rsidRDefault="00CE00AC">
      <w:pPr>
        <w:rPr>
          <w:rFonts w:hint="eastAsia"/>
        </w:rPr>
      </w:pPr>
      <w:r>
        <w:t xml:space="preserve">MediCare will </w:t>
      </w:r>
      <w:r>
        <w:t xml:space="preserve">implement the gap as an academic reference system with three user roles: Patient, Doctor, and Admin. Patients will discover specialists, select available time slots, book or reschedule appointments, and access their medical history. Doctors will configure </w:t>
      </w:r>
      <w:r>
        <w:t xml:space="preserve">working hours, manage appointments, record diagnoses </w:t>
      </w:r>
      <w:r>
        <w:lastRenderedPageBreak/>
        <w:t>and treatment notes, and generate digital prescriptions. Administrators will approve doctor registrations, manage users and clinic settings, and monitor operational analytics.</w:t>
      </w:r>
    </w:p>
    <w:p w14:paraId="37896758" w14:textId="77777777" w:rsidR="00472F47" w:rsidRDefault="00CE00AC">
      <w:pPr>
        <w:rPr>
          <w:rFonts w:hint="eastAsia"/>
        </w:rPr>
      </w:pPr>
      <w:r>
        <w:t xml:space="preserve">The planned implementation </w:t>
      </w:r>
      <w:r>
        <w:t>uses an N-tier separation between presentation, services, and data access, with Repository and Unit of Work patterns for persistence, Factory-based creation of appointment and notification variants, and dependency injection for loose coupling. SignalR, Twi</w:t>
      </w:r>
      <w:r>
        <w:t>lio, SendGrid, FullCalendar.js, Chart.js, ASP.NET Core Identity, Entity Framework Core, SQL Server, and Azure are listed in the project plan as supporting technologies. These are proposed implementation choices, not evidence that the reviewed competitors u</w:t>
      </w:r>
      <w:r>
        <w:t>se the same architecture.</w:t>
      </w:r>
    </w:p>
    <w:p w14:paraId="2D4E630D" w14:textId="77777777" w:rsidR="00472F47" w:rsidRDefault="00CE00AC">
      <w:pPr>
        <w:pStyle w:val="Heading1"/>
      </w:pPr>
      <w:r>
        <w:t>8. Conclusion</w:t>
      </w:r>
    </w:p>
    <w:p w14:paraId="333AB986" w14:textId="77777777" w:rsidR="00472F47" w:rsidRDefault="00CE00AC">
      <w:pPr>
        <w:rPr>
          <w:rFonts w:hint="eastAsia"/>
        </w:rPr>
      </w:pPr>
      <w:r>
        <w:t>Vezeeta, Practo Ray, and Zocdoc provide three complementary reference points: patient discovery, clinic operations, and frictionless online booking. MediCare’s contribution is to turn those lessons into a coherent ou</w:t>
      </w:r>
      <w:r>
        <w:t>tpatient clinic workflow with explicit roles, connected clinical and administrative functions, and a maintainable architecture suitable for an academic project. The contribution is strongest when requirements remain bounded and each planned feature is trac</w:t>
      </w:r>
      <w:r>
        <w:t>eable to a stakeholder need.</w:t>
      </w:r>
    </w:p>
    <w:p w14:paraId="6EEC0E50" w14:textId="77777777" w:rsidR="00472F47" w:rsidRDefault="00CE00AC">
      <w:pPr>
        <w:pStyle w:val="Heading1"/>
      </w:pPr>
      <w:r>
        <w:t>References</w:t>
      </w:r>
    </w:p>
    <w:p w14:paraId="70EDFB96" w14:textId="77777777" w:rsidR="00472F47" w:rsidRDefault="00CE00AC">
      <w:pPr>
        <w:ind w:left="360" w:hanging="360"/>
        <w:rPr>
          <w:rFonts w:hint="eastAsia"/>
        </w:rPr>
      </w:pPr>
      <w:r>
        <w:rPr>
          <w:b/>
        </w:rPr>
        <w:t xml:space="preserve">Practo. (2026a). Practo Ray clinic management software. </w:t>
      </w:r>
      <w:r>
        <w:t>https://www.practo.com/providers/clinics/ray</w:t>
      </w:r>
    </w:p>
    <w:p w14:paraId="74D99250" w14:textId="77777777" w:rsidR="00472F47" w:rsidRDefault="00CE00AC">
      <w:pPr>
        <w:ind w:left="360" w:hanging="360"/>
        <w:rPr>
          <w:rFonts w:hint="eastAsia"/>
        </w:rPr>
      </w:pPr>
      <w:r>
        <w:rPr>
          <w:b/>
        </w:rPr>
        <w:t xml:space="preserve">Practo. (2026b). Practo subscriptions terms and conditions (Ray functions). </w:t>
      </w:r>
      <w:r>
        <w:t>https://www.practo.com/assets/pdf/Pract</w:t>
      </w:r>
      <w:r>
        <w:t>o-Subscriptions-T-and-C.pdf</w:t>
      </w:r>
    </w:p>
    <w:p w14:paraId="59CF0BC2" w14:textId="77777777" w:rsidR="00472F47" w:rsidRDefault="00CE00AC">
      <w:pPr>
        <w:ind w:left="360" w:hanging="360"/>
        <w:rPr>
          <w:rFonts w:hint="eastAsia"/>
        </w:rPr>
      </w:pPr>
      <w:r>
        <w:rPr>
          <w:b/>
        </w:rPr>
        <w:t xml:space="preserve">Vezeeta. (2026). Vezeeta healthcare platform homepage. </w:t>
      </w:r>
      <w:r>
        <w:t>https://www.vezeeta.com/en</w:t>
      </w:r>
    </w:p>
    <w:p w14:paraId="770305B0" w14:textId="77777777" w:rsidR="00472F47" w:rsidRDefault="00CE00AC">
      <w:pPr>
        <w:ind w:left="360" w:hanging="360"/>
        <w:rPr>
          <w:rFonts w:hint="eastAsia"/>
        </w:rPr>
      </w:pPr>
      <w:r>
        <w:rPr>
          <w:b/>
        </w:rPr>
        <w:t xml:space="preserve">Zocdoc. (2026). Zocdoc: Find a doctor near you and book doctors online. </w:t>
      </w:r>
      <w:r>
        <w:t>https://www.zocdoc.com/</w:t>
      </w:r>
    </w:p>
    <w:sectPr w:rsidR="00472F47"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149C7" w14:textId="77777777" w:rsidR="00CE00AC" w:rsidRDefault="00CE00AC">
      <w:pPr>
        <w:spacing w:after="0" w:line="240" w:lineRule="auto"/>
        <w:rPr>
          <w:rFonts w:hint="eastAsia"/>
        </w:rPr>
      </w:pPr>
      <w:r>
        <w:separator/>
      </w:r>
    </w:p>
  </w:endnote>
  <w:endnote w:type="continuationSeparator" w:id="0">
    <w:p w14:paraId="72F7CDC8" w14:textId="77777777" w:rsidR="00CE00AC" w:rsidRDefault="00CE00A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09B95" w14:textId="77777777" w:rsidR="00472F47" w:rsidRDefault="00CE00AC">
    <w:pPr>
      <w:pStyle w:val="Footer"/>
      <w:jc w:val="center"/>
      <w:rPr>
        <w:rFonts w:hint="eastAsia"/>
      </w:rPr>
    </w:pPr>
    <w:r>
      <w:rPr>
        <w:color w:val="646E78"/>
        <w:sz w:val="16"/>
      </w:rPr>
      <w:t>M</w:t>
    </w:r>
    <w:r>
      <w:rPr>
        <w:color w:val="646E78"/>
        <w:sz w:val="16"/>
      </w:rPr>
      <w:t>ediCare Academic Project  •  Literature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28055" w14:textId="77777777" w:rsidR="00CE00AC" w:rsidRDefault="00CE00AC">
      <w:pPr>
        <w:spacing w:after="0" w:line="240" w:lineRule="auto"/>
        <w:rPr>
          <w:rFonts w:hint="eastAsia"/>
        </w:rPr>
      </w:pPr>
      <w:r>
        <w:separator/>
      </w:r>
    </w:p>
  </w:footnote>
  <w:footnote w:type="continuationSeparator" w:id="0">
    <w:p w14:paraId="0D221506" w14:textId="77777777" w:rsidR="00CE00AC" w:rsidRDefault="00CE00A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6D47F" w14:textId="77777777" w:rsidR="00472F47" w:rsidRDefault="00CE00AC">
    <w:pPr>
      <w:pStyle w:val="Header"/>
      <w:jc w:val="right"/>
      <w:rPr>
        <w:rFonts w:hint="eastAsia"/>
      </w:rPr>
    </w:pPr>
    <w:r>
      <w:rPr>
        <w:color w:val="646E78"/>
        <w:sz w:val="16"/>
      </w:rPr>
      <w:t>MEDICARE  |  LITERATURE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2F47"/>
    <w:rsid w:val="00AA1D8D"/>
    <w:rsid w:val="00B47730"/>
    <w:rsid w:val="00CB0664"/>
    <w:rsid w:val="00CD27BE"/>
    <w:rsid w:val="00CE00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AE842"/>
  <w14:defaultImageDpi w14:val="300"/>
  <w15:docId w15:val="{677FE50B-E374-42A7-BA9C-08AA7B977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D5B79"/>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632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1243</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MediCare Literature Review</dc:title>
  <dc:subject>Academic literature review for the MediCare project</dc:subject>
  <dc:creator>MediCare Academic Project</dc:creator>
  <cp:keywords>MediCare, healthcare platforms, literature review, clinic management</cp:keywords>
  <dc:description>generated by python-docx</dc:description>
  <cp:lastModifiedBy>Dina Ashraf</cp:lastModifiedBy>
  <cp:revision>3</cp:revision>
  <dcterms:created xsi:type="dcterms:W3CDTF">2013-12-23T23:15:00Z</dcterms:created>
  <dcterms:modified xsi:type="dcterms:W3CDTF">2026-10-15T14:02:00Z</dcterms:modified>
  <cp:category/>
</cp:coreProperties>
</file>