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674230">
      <w:pPr>
        <w:pStyle w:val="904"/>
        <w:spacing/>
        <w:ind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  <w:highlight w:val="none"/>
        </w:rPr>
      </w:r>
      <w:r>
        <w:rPr>
          <w:rFonts w:ascii="Arial" w:hAnsi="Arial" w:eastAsia="Arial" w:cs="Arial"/>
          <w:sz w:val="40"/>
          <w:szCs w:val="40"/>
          <w:highlight w:val="none"/>
        </w:rPr>
      </w:r>
      <w:r>
        <w:rPr>
          <w:rFonts w:ascii="Arial" w:hAnsi="Arial" w:cs="Arial"/>
          <w:sz w:val="40"/>
          <w:szCs w:val="40"/>
        </w:rPr>
      </w:r>
    </w:p>
    <w:p w14:paraId="5DC0A3BD">
      <w:pPr>
        <w:pStyle w:val="904"/>
        <w:spacing/>
        <w:ind/>
        <w:jc w:val="center"/>
        <w:rPr>
          <w:rFonts w:ascii="Arial" w:hAnsi="Arial" w:eastAsia="Arial" w:cs="Arial"/>
          <w:sz w:val="40"/>
          <w:szCs w:val="40"/>
          <w:highlight w:val="none"/>
        </w:rPr>
      </w:pPr>
      <w:r>
        <w:rPr>
          <w:rFonts w:ascii="Arial" w:hAnsi="Arial" w:eastAsia="Arial" w:cs="Arial"/>
          <w:sz w:val="40"/>
          <w:szCs w:val="40"/>
          <w:highlight w:val="none"/>
        </w:rPr>
      </w:r>
      <w:r>
        <w:rPr>
          <w:rFonts w:ascii="Arial" w:hAnsi="Arial" w:eastAsia="Arial" w:cs="Arial"/>
          <w:sz w:val="40"/>
          <w:szCs w:val="40"/>
          <w:highlight w:val="none"/>
        </w:rPr>
      </w:r>
      <w:r>
        <w:rPr>
          <w:rFonts w:ascii="Arial" w:hAnsi="Arial" w:eastAsia="Arial" w:cs="Arial"/>
          <w:sz w:val="40"/>
          <w:szCs w:val="40"/>
          <w:highlight w:val="none"/>
        </w:rPr>
      </w:r>
    </w:p>
    <w:p>
      <w:pPr>
        <w:pStyle w:val="904"/>
        <w:spacing/>
        <w:ind/>
        <w:jc w:val="center"/>
        <w:rPr>
          <w:rFonts w:ascii="Arial" w:hAnsi="Arial" w:eastAsia="Arial" w:cs="Arial"/>
          <w:sz w:val="40"/>
          <w:szCs w:val="40"/>
          <w:highlight w:val="none"/>
        </w:rPr>
      </w:pPr>
      <w:r>
        <w:rPr>
          <w:rFonts w:ascii="Arial" w:hAnsi="Arial" w:eastAsia="Arial" w:cs="Arial"/>
          <w:sz w:val="40"/>
          <w:szCs w:val="40"/>
        </w:rPr>
        <w:t xml:space="preserve">Customer Segmentation for an Online Retailer: K-Means versus DBSCAN</w:t>
      </w:r>
      <w:r>
        <w:rPr>
          <w:rFonts w:ascii="Arial" w:hAnsi="Arial" w:eastAsia="Arial" w:cs="Arial"/>
          <w:sz w:val="40"/>
          <w:szCs w:val="40"/>
          <w:highlight w:val="none"/>
        </w:rPr>
      </w:r>
      <w:r>
        <w:rPr>
          <w:rFonts w:ascii="Arial" w:hAnsi="Arial" w:eastAsia="Arial" w:cs="Arial"/>
          <w:sz w:val="40"/>
          <w:szCs w:val="40"/>
          <w:highlight w:val="none"/>
        </w:rPr>
      </w:r>
    </w:p>
    <w:p w14:paraId="680CDD27">
      <w:pPr>
        <w:spacing/>
        <w:ind/>
        <w:rPr/>
      </w:pPr>
      <w:r>
        <w:rPr>
          <w:rFonts w:ascii="Arial" w:hAnsi="Arial" w:eastAsia="Arial" w:cs="Arial"/>
          <w:sz w:val="40"/>
          <w:szCs w:val="40"/>
        </w:rPr>
      </w:r>
      <w:r>
        <w:rPr>
          <w:rFonts w:ascii="Arial" w:hAnsi="Arial" w:eastAsia="Arial" w:cs="Arial"/>
          <w:sz w:val="40"/>
          <w:szCs w:val="40"/>
        </w:rPr>
      </w:r>
      <w:r/>
    </w:p>
    <w:p>
      <w:pPr>
        <w:spacing/>
        <w:ind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 xml:space="preserve">Essentials of Machine Learning : Assignment 2 (Individual)</w: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spacing/>
        <w:ind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</w:rPr>
        <w:t xml:space="preserve">Name : S Dinath</w:t>
      </w:r>
      <w:r>
        <w:rPr>
          <w:rFonts w:ascii="Arial" w:hAnsi="Arial" w:cs="Arial"/>
        </w:rPr>
      </w:r>
      <w:r>
        <w:rPr>
          <w:rFonts w:ascii="Arial" w:hAnsi="Arial" w:eastAsia="Arial" w:cs="Arial"/>
          <w:b/>
          <w:bCs/>
        </w:rPr>
      </w:r>
    </w:p>
    <w:p w14:paraId="7DB1B3F9">
      <w:pPr>
        <w:spacing/>
        <w:ind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</w:rPr>
        <w:t xml:space="preserve">Registration Number : E2340013</w:t>
      </w:r>
      <w:r>
        <w:rPr>
          <w:rFonts w:ascii="Arial" w:hAnsi="Arial" w:cs="Arial"/>
        </w:rPr>
      </w:r>
      <w:r>
        <w:rPr>
          <w:rFonts w:ascii="Arial" w:hAnsi="Arial" w:eastAsia="Arial" w:cs="Arial"/>
          <w:b/>
          <w:bCs/>
        </w:rPr>
      </w:r>
    </w:p>
    <w:p w14:paraId="3AAA99C4">
      <w:pPr>
        <w:spacing/>
        <w:ind/>
        <w:jc w:val="center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University of Moratuwa</w:t>
      </w:r>
      <w:r>
        <w:t xml:space="preserve"> - BIT</w:t>
      </w:r>
      <w:r>
        <w:rPr>
          <w:rFonts w:ascii="Arial" w:hAnsi="Arial" w:cs="Arial"/>
        </w:rPr>
      </w:r>
    </w:p>
    <w:p w14:paraId="1E982594"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7AA6605D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B4AC544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B5204EA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FD00F0D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5F55B2E1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AA8B228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E30803D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23ADD6D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625544E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40114B7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E83C450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7B91105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51ADA743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Abstract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This report segments 4,334 customers of a UK online retailer using four behavioural features (Recency, Frequency, Monetary value and product variety) derived from 541,909 transaction lines. K-Means and DBSCAN are trained on the same log-transfor</w:t>
      </w:r>
      <w:r>
        <w:rPr>
          <w:rFonts w:ascii="Arial" w:hAnsi="Arial" w:eastAsia="Arial" w:cs="Arial"/>
        </w:rPr>
        <w:t xml:space="preserve">med, standardised feature space and compared on the Silhouette, Davies-Bouldin and Calinski-Harabasz metrics, runtime, stability and noise handling. K-Means with K = 4 produces four interpretable segments, in which the top 18.9% of customers generate 68.0%</w:t>
      </w:r>
      <w:r>
        <w:rPr>
          <w:rFonts w:ascii="Arial" w:hAnsi="Arial" w:eastAsia="Arial" w:cs="Arial"/>
        </w:rPr>
        <w:t xml:space="preserve"> of revenue. DBSCAN (eps = 0.5, min_samples = 8) labels 8.47% of customers as noise, and those customers account for 46.0% of revenue. K-Means is recommended as the main segmentation method, with DBSCAN used to flag extreme accounts for personal attention.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 Dataset Exploration (Task 1)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1.1 Dataset and clustering objective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The Online Retail dataset (Chen, 2015) from the UCI Machine Learning Repository contains the transactions of a UK-based online retailer between 01/12/2010 and 09/12/2011. It has </w:t>
      </w:r>
      <w:r>
        <w:rPr>
          <w:rFonts w:ascii="Arial" w:hAnsi="Arial" w:eastAsia="Arial" w:cs="Arial"/>
          <w:b/>
        </w:rPr>
        <w:t xml:space="preserve">541,909 records and 8 variables</w:t>
      </w:r>
      <w:r>
        <w:rPr>
          <w:rFonts w:ascii="Arial" w:hAnsi="Arial" w:eastAsia="Arial" w:cs="Arial"/>
        </w:rPr>
        <w:t xml:space="preserve">. The objective is unsupervised: group customers by purchasing behaviour so that each group can be targeted differently. Because the data is at transaction level, customer-level features must be engineered before clustering (Section 2).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68"/>
        <w:gridCol w:w="2586"/>
        <w:gridCol w:w="5306"/>
      </w:tblGrid>
      <w:tr>
        <w:trPr>
          <w:tblHeader/>
        </w:trPr>
        <w:tc>
          <w:tcPr>
            <w:shd w:val="clear" w:color="auto" w:fill="f2f2f2"/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Variable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Type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Use in this study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InvoiceNo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String (prefix C = cancellation)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 (distinct invoices); cancellation filter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StockCode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String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 (distinct codes); non-product filter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Description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String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Excluded (free text, duplicates StockCode information)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Quantity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 (Quantity × UnitPrice)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InvoiceDate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Datetime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UnitPrice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Float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CustomerID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Float (contains missing values)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Aggregation key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4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Country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8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String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530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Excluded (see Section 2.2)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2198D821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The </w:t>
      </w:r>
      <w:r>
        <w:rPr>
          <w:rFonts w:ascii="Arial" w:hAnsi="Arial" w:eastAsia="Arial" w:cs="Arial"/>
          <w:b/>
        </w:rPr>
        <w:t xml:space="preserve">relevant clustering features</w:t>
      </w:r>
      <w:r>
        <w:rPr>
          <w:rFonts w:ascii="Arial" w:hAnsi="Arial" w:eastAsia="Arial" w:cs="Arial"/>
        </w:rPr>
        <w:t xml:space="preserve"> are four customer-level variables: Recency, Frequency, Monetary and UniqueProducts. The dataset has 4372 customers before cleaning and 4,334 after cleaning.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F817E96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1.2 Data quality inspection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2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Missing values:</w:t>
      </w:r>
      <w:r>
        <w:rPr>
          <w:rFonts w:ascii="Arial" w:hAnsi="Arial" w:eastAsia="Arial" w:cs="Arial"/>
        </w:rPr>
        <w:t xml:space="preserve"> CustomerID is missing in 135,080 rows (24.9%). Description has 1454 missing values.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2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Duplicates:</w:t>
      </w:r>
      <w:r>
        <w:rPr>
          <w:rFonts w:ascii="Arial" w:hAnsi="Arial" w:eastAsia="Arial" w:cs="Arial"/>
        </w:rPr>
        <w:t xml:space="preserve"> 5268 exact duplicate rows exist in the raw data. After rows without a CustomerID were removed, 5,225 duplicates remained and were dropped.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2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Cancellations:</w:t>
      </w:r>
      <w:r>
        <w:rPr>
          <w:rFonts w:ascii="Arial" w:hAnsi="Arial" w:eastAsia="Arial" w:cs="Arial"/>
        </w:rPr>
        <w:t xml:space="preserve"> invoices starting with C carry negative quantities.</w:t>
      </w:r>
      <w:r>
        <w:rPr>
          <w:rFonts w:ascii="Arial" w:hAnsi="Arial" w:eastAsia="Arial" w:cs="Arial"/>
        </w:rPr>
        <w:t xml:space="preserve">There are 9,288 such lines in the raw dataset; 8,872 such lines were removed during cleaning.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2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Invalid values: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Quantity or UnitPrice of zero or below occurs in 10,624 and 2,517 rows respectively; a further 40 rows remained after cancellations were removed.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2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Non-product codes:</w:t>
      </w:r>
      <w:r>
        <w:rPr>
          <w:rFonts w:ascii="Arial" w:hAnsi="Arial" w:eastAsia="Arial" w:cs="Arial"/>
        </w:rPr>
        <w:t xml:space="preserve"> postage, bank charges and manual adjustments share the StockCode column with real products; 1,542 such lines were removed.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562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972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656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45.3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Table 1: Descriptive statistics of the raw transaction data.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1.3 Visualizations and key observations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276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089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227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32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t xml:space="preserve">Figure 1: Exploratory plots of the cleaned positive-value transactions.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96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72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79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2.4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Figure 2: Boxplots showing extreme Quantity and UnitPrice values.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Key observations: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3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One quarter of rows have no CustomerID, so they cannot be assigned to a customer and must be removed.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3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Transaction values are heavy-tailed. Unit price and lines per customer only become readable on log axes (Figure 1, panels 3 and 4).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3"/>
        </w:numPr>
        <w:spacing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Cancellations, zero or negative values and non-product codes would distort spend if left in the data.</w:t>
      </w:r>
      <w:r>
        <w:rPr>
          <w:rFonts w:ascii="Arial" w:hAnsi="Arial" w:cs="Arial"/>
        </w:rPr>
      </w:r>
      <w:r>
        <w:rPr>
          <w:rFonts w:ascii="Arial" w:hAnsi="Arial" w:eastAsia="Arial" w:cs="Arial"/>
        </w:rPr>
      </w:r>
    </w:p>
    <w:p w14:paraId="0485C565">
      <w:pPr>
        <w:pStyle w:val="914"/>
        <w:numPr>
          <w:ilvl w:val="0"/>
          <w:numId w:val="3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The United Kingdom heavily dominates the transaction volume, representing the overwhelming majority of transaction lines compared to all other international markets.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0E20485">
      <w:pPr>
        <w:pStyle w:val="914"/>
        <w:numPr>
          <w:ilvl w:val="0"/>
          <w:numId w:val="3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Monthly revenue shows a steady rise over the course of the year, culminating in a significant sales peak in November 2011, followed by a sharp drop-off in early December.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3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At customer level the features are strongly right-skewed (Section 2.3), which motivates a transformation before distance-based clustering.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2. Preprocessing (Task 2)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2.1 Cleaning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833"/>
        <w:gridCol w:w="2358"/>
        <w:gridCol w:w="2167"/>
      </w:tblGrid>
      <w:tr>
        <w:trPr>
          <w:tblHeader/>
        </w:trPr>
        <w:tc>
          <w:tcPr>
            <w:shd w:val="clear" w:color="auto" w:fill="f2f2f2"/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Step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Rows remaining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Rows removed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Raw data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541,909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-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Drop missing CustomerID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406,829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135,080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Drop exact duplicate rows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401,604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5,225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Drop cancelled invoices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392,732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8,872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Drop Quantity ≤ 0 or UnitPrice ≤ 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392,692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48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Drop non-product StockCodes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5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391,150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1,542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Table 2: Cleaning pipeline. In total 150,759 lines (27.8%) were removed.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Rows without a CustomerID cannot contribute to customer-level features. Duplicates would double-count purchases. Cancelled invoices and non-posi</w:t>
      </w:r>
      <w:r>
        <w:rPr>
          <w:rFonts w:ascii="Arial" w:hAnsi="Arial" w:eastAsia="Arial" w:cs="Arial"/>
        </w:rPr>
        <w:t xml:space="preserve">tive values were excluded so that spend reflects genuine purchases; this means return behaviour is not modelled (see Limitations). Only StockCodes beginning with five digits were kept, which retains real products and drops postage, fees and manual entries.</w:t>
      </w:r>
      <w:r>
        <w:rPr>
          <w:rFonts w:ascii="Arial" w:hAnsi="Arial" w:cs="Arial"/>
        </w:rPr>
      </w:r>
      <w:r>
        <w:rPr>
          <w:rFonts w:ascii="Arial" w:hAnsi="Arial" w:eastAsia="Arial" w:cs="Arial"/>
          <w:highlight w:val="none"/>
        </w:rPr>
      </w:r>
    </w:p>
    <w:p w14:paraId="39094545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5A2F9C4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2287C14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3FEE5C2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7310AE6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2.2 Feature engineering and exclusions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CFC48B">
      <w:pPr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/>
    </w:p>
    <w:p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A snapshot date (last invoice date plus one day) was used to compute recency. Each customer is described by: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65"/>
        <w:gridCol w:w="6794"/>
      </w:tblGrid>
      <w:tr>
        <w:trPr>
          <w:tblHeader/>
        </w:trPr>
        <w:tc>
          <w:tcPr>
            <w:shd w:val="clear" w:color="auto" w:fill="f2f2f2"/>
            <w:tcBorders/>
            <w:tcW w:w="25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Feature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679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Definition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5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79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Days between the snapshot date and the customer’s last purchase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5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79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Number of distinct invoices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5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79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Total spend, the sum of Quantity × UnitPrice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5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79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Number of distinct StockCodes purchased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0F413207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RFM is a standard basis for customer segmentation (Chen et al., 2012), and UniqueProducts adds a product-variety dimension. Country was excluded because the customer base is dominated by one</w:t>
      </w:r>
      <w:r>
        <w:rPr>
          <w:rFonts w:ascii="Arial" w:hAnsi="Arial" w:eastAsia="Arial" w:cs="Arial"/>
        </w:rPr>
        <w:t xml:space="preserve"> country and a categorical variable would need encoding that distorts Euclidean distances. Description was excluded as free text. Average basket value was not added because it is a ratio of Monetary to Frequency. All four retained features are numeric, so </w:t>
      </w:r>
      <w:r>
        <w:rPr>
          <w:rFonts w:ascii="Arial" w:hAnsi="Arial" w:eastAsia="Arial" w:cs="Arial"/>
          <w:b/>
        </w:rPr>
        <w:t xml:space="preserve">no categorical encoding was needed</w:t>
      </w:r>
      <w:r>
        <w:rPr>
          <w:rFonts w:ascii="Arial" w:hAnsi="Arial" w:eastAsia="Arial" w:cs="Arial"/>
        </w:rPr>
        <w:t xml:space="preserve">. The result is 4,334 customers.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17A75678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00"/>
        <w:gridCol w:w="1133"/>
        <w:gridCol w:w="1133"/>
        <w:gridCol w:w="736"/>
        <w:gridCol w:w="930"/>
        <w:gridCol w:w="1017"/>
        <w:gridCol w:w="1133"/>
        <w:gridCol w:w="1375"/>
      </w:tblGrid>
      <w:tr>
        <w:trPr>
          <w:tblHeader/>
        </w:trPr>
        <w:tc>
          <w:tcPr>
            <w:shd w:val="clear" w:color="auto" w:fill="f2f2f2"/>
            <w:tcBorders/>
            <w:tcW w:w="190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Feature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Mean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7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Min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93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0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Median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3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Max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90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92.70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100.18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7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93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143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374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90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4.25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7.63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7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93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206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90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2,015.97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8,903.67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7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3.75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93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304.24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662.57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1,631.62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279,138.02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90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61.43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85.31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7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93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1,785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eastAsia="Arial" w:cs="Arial"/>
          <w:bCs/>
          <w:i/>
          <w:highlight w:val="none"/>
        </w:rPr>
      </w:pPr>
      <w:r>
        <w:rPr>
          <w:rFonts w:ascii="Arial" w:hAnsi="Arial" w:eastAsia="Arial" w:cs="Arial"/>
          <w:i/>
        </w:rPr>
        <w:t xml:space="preserve">Table 3: Descriptive statistics of the customer-level features (n = 4,334).</w:t>
      </w:r>
      <w:r>
        <w:rPr>
          <w:rFonts w:ascii="Arial" w:hAnsi="Arial" w:cs="Arial"/>
        </w:rPr>
      </w:r>
      <w:r>
        <w:rPr>
          <w:rFonts w:ascii="Arial" w:hAnsi="Arial" w:eastAsia="Arial" w:cs="Arial"/>
          <w:bCs/>
          <w:i/>
          <w:highlight w:val="none"/>
        </w:rPr>
      </w:r>
    </w:p>
    <w:p w14:paraId="5D54B602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2.3 Skewness, outliers and scaling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0AE8DE1">
      <w:pPr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/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725"/>
        <w:gridCol w:w="2968"/>
        <w:gridCol w:w="3665"/>
      </w:tblGrid>
      <w:tr>
        <w:trPr>
          <w:tblHeader/>
        </w:trPr>
        <w:tc>
          <w:tcPr>
            <w:shd w:val="clear" w:color="auto" w:fill="f2f2f2"/>
            <w:tcBorders/>
            <w:tcW w:w="272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Feature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9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Skewness before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36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Skewness after log1p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72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9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−0.38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72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9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11.95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72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9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19.58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0.40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72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96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6.92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−0.24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Table 4: Skewness before and after the log(1 + x) transformation.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A log(1 + x) transformation was applied to all </w:t>
      </w:r>
      <w:r>
        <w:rPr>
          <w:rFonts w:ascii="Arial" w:hAnsi="Arial" w:eastAsia="Arial" w:cs="Arial"/>
        </w:rPr>
        <w:t xml:space="preserve">four features. It removed most of the skew in Monetary and UniqueProducts. Frequency remains moderately skewed (1.21) because about a third of customers have a single invoice, which creates a discrete mass at the minimum that no monotone transform removes.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Outliers were </w:t>
      </w:r>
      <w:r>
        <w:rPr>
          <w:rFonts w:ascii="Arial" w:hAnsi="Arial" w:eastAsia="Arial" w:cs="Arial"/>
          <w:b/>
        </w:rPr>
        <w:t xml:space="preserve">kept rather than deleted</w:t>
      </w:r>
      <w:r>
        <w:rPr>
          <w:rFonts w:ascii="Arial" w:hAnsi="Arial" w:eastAsia="Arial" w:cs="Arial"/>
        </w:rPr>
        <w:t xml:space="preserve">. The largest customers (maximum spend £279,138) are plausibly genuine high-value accounts, and removing them would erase the most commercially important segment. The log transform limits their leverage on distance calculations, and DBS</w:t>
      </w:r>
      <w:r>
        <w:rPr>
          <w:rFonts w:ascii="Arial" w:hAnsi="Arial" w:eastAsia="Arial" w:cs="Arial"/>
        </w:rPr>
        <w:t xml:space="preserve">CAN is designed to flag extreme points as noise. Features were then standardised with StandardScaler (mean 0, standard deviation 1), because both algorithms are distance-based and the raw scales differ by orders of magnitude. The final matrix is 4,334 × 4.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30504" cy="4516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039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530503" cy="451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4.21pt;height:355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t xml:space="preserve">Figure 3: Feature distributions before (top) and after (bottom) the log transformation.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18591B7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A6D1812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73B9B53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024094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42DC43A5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51A9F9C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3. K-Means Clustering (Task 3)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K-Means (n_init = 10, random_state = 42) was trained for K = 2 to 10, which is nine candidate values.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40"/>
        <w:gridCol w:w="1447"/>
        <w:gridCol w:w="1704"/>
        <w:gridCol w:w="2426"/>
        <w:gridCol w:w="2840"/>
      </w:tblGrid>
      <w:tr>
        <w:trPr>
          <w:tblHeader/>
        </w:trPr>
        <w:tc>
          <w:tcPr>
            <w:shd w:val="clear" w:color="auto" w:fill="f2f2f2"/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K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Inertia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Silhouette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Davies–Bouldin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Calinski–Harabasz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9,125.82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0.40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0.95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3,897.36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7,083.82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0.30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1.14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3,134.09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6,141.43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2,630.95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5,298.98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1.19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2,458.42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4,810.49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2,253.88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4,413.39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1.17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2,111.64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4,107.29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1,990.50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3,858.62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1.16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1,888.30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4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3,641.09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42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1.17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1,807.08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Table 5: K-Means scan over candidate K.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7715" cy="224635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58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07715" cy="2246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5.17pt;height:176.8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w:t xml:space="preserve">Figure 4: Elbow plot (left) and Silhouette score by K (right).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3.1 Choice of K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The Silhouette score is highest at K = 2 (0.40), but a two-group solution only separates active from i</w:t>
      </w:r>
      <w:r>
        <w:rPr>
          <w:rFonts w:ascii="Arial" w:hAnsi="Arial" w:eastAsia="Arial" w:cs="Arial"/>
        </w:rPr>
        <w:t xml:space="preserve">nactive customers and is too coarse to act on. The elbow is gradual: inertia falls by about 2,042 from K = 2 to 3, by 942 from K = 3 to 4, by 842 from 4 to 5 and by 488 from 5 to 6, so the largest bend sits at K = 3 to 4 and the gains diminish afterwards. </w:t>
      </w:r>
      <w:r>
        <w:rPr>
          <w:rFonts w:ascii="Arial" w:hAnsi="Arial" w:eastAsia="Arial" w:cs="Arial"/>
          <w:b/>
        </w:rPr>
        <w:t xml:space="preserve">K = 4 was chosen</w:t>
      </w:r>
      <w:r>
        <w:rPr>
          <w:rFonts w:ascii="Arial" w:hAnsi="Arial" w:eastAsia="Arial" w:cs="Arial"/>
        </w:rPr>
        <w:t xml:space="preserve"> as a balance between the elbow, a Silhouette that is still the third highest (0.28) and interpretability: it yields four balanced, behavioural</w:t>
      </w:r>
      <w:r>
        <w:rPr>
          <w:rFonts w:ascii="Arial" w:hAnsi="Arial" w:eastAsia="Arial" w:cs="Arial"/>
        </w:rPr>
        <w:t xml:space="preserve">ly distinct segments (821, 1,245, 1,448 and 820 customers). K = 3 (Silhouette 0.30) is a reasonable alternative. A Silhouette of 0.28 indicates weak structure, which is expected because RFM behaviour varies continuously rather than forming isolated groups.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3.2 Final clustering and profiles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The final model (K = 4) has Silhouette 0.283, Davies-Bouldin 1.203 and Calinski-Harabasz 2,631, with a runtime of 0.176 s. The two-dimensional PCA projection explains 85.9% of the variance.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eastAsia="Arial" w:cs="Arial"/>
          <w:bCs/>
          <w:i/>
          <w:highlight w:val="none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276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435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4727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72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w:t xml:space="preserve">Figure 5: K-Means (K = 4) clusters projected onto the first two principal components.</w:t>
      </w:r>
      <w:r>
        <w:rPr>
          <w:rFonts w:ascii="Arial" w:hAnsi="Arial" w:eastAsia="Arial" w:cs="Arial"/>
          <w:bCs/>
          <w:i/>
          <w:highlight w:val="none"/>
        </w:rPr>
      </w:r>
      <w:r>
        <w:rPr>
          <w:rFonts w:ascii="Arial" w:hAnsi="Arial" w:eastAsia="Arial" w:cs="Arial"/>
          <w:bCs/>
          <w:i/>
          <w:highlight w:val="none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88"/>
        <w:gridCol w:w="1170"/>
        <w:gridCol w:w="1190"/>
        <w:gridCol w:w="1208"/>
        <w:gridCol w:w="1170"/>
        <w:gridCol w:w="1373"/>
        <w:gridCol w:w="1219"/>
        <w:gridCol w:w="1042"/>
      </w:tblGrid>
      <w:tr>
        <w:trPr>
          <w:tblHeader/>
        </w:trPr>
        <w:tc>
          <w:tcPr>
            <w:shd w:val="clear" w:color="auto" w:fill="f2f2f2"/>
            <w:tcBorders/>
            <w:tcW w:w="98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Cluster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Customers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9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% of customers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 (days)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37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 (£)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2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042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% of revenue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18.9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14.3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12.6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7,236.7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155.7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42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68.0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1,245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28.7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85.8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1,507.1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70.5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42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21.5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1,448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33.4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184.3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304.3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15.7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42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18.9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20.0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7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2.2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7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584.0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34.1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42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Table 6: K-Means cluster profiles using the original (untransformed) features; values are cluster means.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38"/>
        <w:gridCol w:w="1499"/>
        <w:gridCol w:w="1767"/>
        <w:gridCol w:w="2236"/>
        <w:gridCol w:w="2517"/>
      </w:tblGrid>
      <w:tr>
        <w:trPr>
          <w:tblHeader/>
        </w:trPr>
        <w:tc>
          <w:tcPr>
            <w:shd w:val="clear" w:color="auto" w:fill="f2f2f2"/>
            <w:tcBorders/>
            <w:tcW w:w="133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Cluster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49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7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2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 (£)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5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33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9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2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3,353.0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119.0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33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9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65.0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2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1,096.3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58.0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33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9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183.5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2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250.6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13.0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33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9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17.5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6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23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464.0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5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28.0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eastAsia="Arial" w:cs="Arial"/>
          <w:bCs/>
          <w:i/>
          <w:highlight w:val="none"/>
        </w:rPr>
      </w:pPr>
      <w:r>
        <w:rPr>
          <w:rFonts w:ascii="Arial" w:hAnsi="Arial" w:eastAsia="Arial" w:cs="Arial"/>
          <w:i/>
        </w:rPr>
        <w:t xml:space="preserve">Table 7: Cluster medians. Means exceed medians in the spending columns because of right skew inside each cluster.</w:t>
      </w:r>
      <w:r>
        <w:rPr>
          <w:rFonts w:ascii="Arial" w:hAnsi="Arial" w:cs="Arial"/>
        </w:rPr>
      </w:r>
      <w:r>
        <w:rPr>
          <w:rFonts w:ascii="Arial" w:hAnsi="Arial" w:eastAsia="Arial" w:cs="Arial"/>
          <w:bCs/>
          <w:i/>
          <w:highlight w:val="none"/>
        </w:rPr>
      </w:r>
    </w:p>
    <w:p w14:paraId="4E0A5E83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36004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6889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72125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8.75pt;height:283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w:t xml:space="preserve">Figure 6: Each cluster’s mean as a multiple of the overall mean (1.0 = average).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178AD061"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59283687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6DDF723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8A76B94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A07A532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82BD9F9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40353ED7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9073495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4. DBSCAN Clustering (Task 4)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1BE21AD2">
      <w:pPr>
        <w:pStyle w:val="906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4.1 Parameter selection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</w:rPr>
        <w:t xml:space="preserve">min_samples</w:t>
      </w:r>
      <w:r>
        <w:rPr>
          <w:rFonts w:ascii="Arial" w:hAnsi="Arial" w:eastAsia="Arial" w:cs="Arial"/>
        </w:rPr>
        <w:t xml:space="preserve"> was set to 8, following the common heuristic of at least twice the number of dimensions (2 × 4). </w:t>
      </w:r>
      <w:r>
        <w:rPr>
          <w:rFonts w:ascii="Arial" w:hAnsi="Arial" w:eastAsia="Arial" w:cs="Arial"/>
          <w:b/>
        </w:rPr>
        <w:t xml:space="preserve">eps</w:t>
      </w:r>
      <w:r>
        <w:rPr>
          <w:rFonts w:ascii="Arial" w:hAnsi="Arial" w:eastAsia="Arial" w:cs="Arial"/>
        </w:rPr>
        <w:t xml:space="preserve"> was investigated with a k-nearest-neighbour distance plot and a parameter grid. In the k-distance plot the curve rises gently through roughly 0.3 to 0.7 and turns sharply upward from about 0.8 to 1.0 for min_samples = 8.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13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495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061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19.7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t xml:space="preserve">Figure 7: k-distance plot used to select eps.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96"/>
        <w:gridCol w:w="1840"/>
        <w:gridCol w:w="2114"/>
        <w:gridCol w:w="4208"/>
      </w:tblGrid>
      <w:tr>
        <w:trPr>
          <w:tblHeader/>
        </w:trPr>
        <w:tc>
          <w:tcPr>
            <w:shd w:val="clear" w:color="auto" w:fill="f2f2f2"/>
            <w:tcBorders/>
            <w:tcW w:w="119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eps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Clusters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11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Noise (%)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4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Silhouette (non-noise)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19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1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73.23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−0.12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19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1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41.26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−0.06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19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1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18.50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0.11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19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0.5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1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8.47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0.16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19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4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11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4.50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0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0.18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eastAsia="Arial" w:cs="Arial"/>
          <w:bCs/>
          <w:i/>
          <w:highlight w:val="none"/>
        </w:rPr>
      </w:pPr>
      <w:r>
        <w:rPr>
          <w:rFonts w:ascii="Arial" w:hAnsi="Arial" w:eastAsia="Arial" w:cs="Arial"/>
          <w:i/>
        </w:rPr>
        <w:t xml:space="preserve">Table 8: DBSCAN grid for min_samples = 8 (full grid in Appendix A5).</w:t>
      </w:r>
      <w:r>
        <w:rPr>
          <w:rFonts w:ascii="Arial" w:hAnsi="Arial" w:cs="Arial"/>
        </w:rPr>
      </w:r>
      <w:r>
        <w:rPr>
          <w:rFonts w:ascii="Arial" w:hAnsi="Arial" w:eastAsia="Arial" w:cs="Arial"/>
          <w:bCs/>
          <w:i/>
          <w:highlight w:val="none"/>
        </w:rPr>
      </w:r>
    </w:p>
    <w:p w14:paraId="447C2E3B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The grid shows that small eps fragments the data into </w:t>
      </w:r>
      <w:r>
        <w:rPr>
          <w:rFonts w:ascii="Arial" w:hAnsi="Arial" w:eastAsia="Arial" w:cs="Arial"/>
        </w:rPr>
        <w:t xml:space="preserve">many clusters with most points labelled noise, while larger eps merges everything. With min_samples = 5 the cluster count runs 50, 29, 11, 4, 1, 2, 1, 1, 2 as eps increases from 0.2 to 1.0, so the knee region (0.8 to 1.0) collapses to one or two clusters. </w:t>
      </w:r>
      <w:r>
        <w:rPr>
          <w:rFonts w:ascii="Arial" w:hAnsi="Arial" w:eastAsia="Arial" w:cs="Arial"/>
          <w:b/>
        </w:rPr>
        <w:t xml:space="preserve">eps = 0.5 was chosen</w:t>
      </w:r>
      <w:r>
        <w:rPr>
          <w:rFonts w:ascii="Arial" w:hAnsi="Arial" w:eastAsia="Arial" w:cs="Arial"/>
        </w:rPr>
        <w:t xml:space="preserve"> as the largest value that keeps more than one cluster while holding noise under 10%.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4.2 Results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DBSCAN (eps = 0.5, min_samples = 8) found </w:t>
      </w:r>
      <w:r>
        <w:rPr>
          <w:rFonts w:ascii="Arial" w:hAnsi="Arial" w:eastAsia="Arial" w:cs="Arial"/>
          <w:b/>
        </w:rPr>
        <w:t xml:space="preserve">4 clusters</w:t>
      </w:r>
      <w:r>
        <w:rPr>
          <w:rFonts w:ascii="Arial" w:hAnsi="Arial" w:eastAsia="Arial" w:cs="Arial"/>
        </w:rPr>
        <w:t xml:space="preserve"> of 2,519, 1,432, 9 and 7 customers. </w:t>
      </w:r>
      <w:r>
        <w:rPr>
          <w:rFonts w:ascii="Arial" w:hAnsi="Arial" w:eastAsia="Arial" w:cs="Arial"/>
          <w:b/>
        </w:rPr>
        <w:t xml:space="preserve">367 customers (8.47%) are noise</w:t>
      </w:r>
      <w:r>
        <w:rPr>
          <w:rFonts w:ascii="Arial" w:hAnsi="Arial" w:eastAsia="Arial" w:cs="Arial"/>
        </w:rPr>
        <w:t xml:space="preserve">, so 3,967 customers (91.53%) are retained for metric computation. Runtime was 0.138 s.</w:t>
      </w:r>
      <w:r>
        <w:rPr>
          <w:rFonts w:ascii="Arial" w:hAnsi="Arial" w:cs="Arial"/>
        </w:rPr>
      </w:r>
      <w:r>
        <w:rPr>
          <w:rFonts w:ascii="Arial" w:hAnsi="Arial" w:eastAsia="Arial" w:cs="Arial"/>
          <w:highlight w:val="none"/>
        </w:rPr>
      </w:r>
    </w:p>
    <w:p w14:paraId="6E011331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eastAsia="Arial" w:cs="Arial"/>
          <w:bCs/>
          <w:i/>
          <w:highlight w:val="none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2767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871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4727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72.2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  <w:t xml:space="preserve">Figure 8: DBSCAN clusters and noise projected onto the first two principal components.</w:t>
      </w:r>
      <w:r>
        <w:rPr>
          <w:rFonts w:ascii="Arial" w:hAnsi="Arial" w:cs="Arial"/>
        </w:rPr>
      </w:r>
      <w:r>
        <w:rPr>
          <w:rFonts w:ascii="Arial" w:hAnsi="Arial" w:eastAsia="Arial" w:cs="Arial"/>
          <w:bCs/>
          <w:i/>
          <w:highlight w:val="none"/>
        </w:rPr>
      </w:r>
    </w:p>
    <w:p w14:paraId="1F468894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C50D7BF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AE58DA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758CC5C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eastAsia="Arial" w:cs="Arial"/>
          <w:i/>
          <w:highlight w:val="none"/>
        </w:rPr>
      </w:r>
      <w:r>
        <w:rPr>
          <w:rFonts w:ascii="Arial" w:hAnsi="Arial" w:cs="Arial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16"/>
        <w:gridCol w:w="1457"/>
        <w:gridCol w:w="1193"/>
        <w:gridCol w:w="1407"/>
        <w:gridCol w:w="1780"/>
        <w:gridCol w:w="2004"/>
      </w:tblGrid>
      <w:tr>
        <w:trPr>
          <w:tblHeader/>
        </w:trPr>
        <w:tc>
          <w:tcPr>
            <w:shd w:val="clear" w:color="auto" w:fill="f2f2f2"/>
            <w:tcBorders/>
            <w:tcW w:w="151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Group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45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Customers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19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40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Frequency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78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Monetary (£)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0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UniqueProducts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51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Noise (−1)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5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367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49.3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0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12.8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8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10,950.1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0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104.5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51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5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2,519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60.0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0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4.8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8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1,653.3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0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78.0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51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5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1,432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161.1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0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8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327.0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0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21.0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51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5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210.4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0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2.1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8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736.9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0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1516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5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9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40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23.9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80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11,287.9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004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160.0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i/>
        </w:rPr>
        <w:t xml:space="preserve">Table 9: DBSCAN group means on the original features.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073AC452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 practice DBSCAN separates two broad groups: active customer</w:t>
      </w:r>
      <w:r>
        <w:rPr>
          <w:rFonts w:ascii="Arial" w:hAnsi="Arial" w:eastAsia="Arial" w:cs="Arial"/>
        </w:rPr>
        <w:t xml:space="preserve">s (cluster 0) and one-time lapsed buyers (cluster 1, every customer with exactly one invoice on average). Clusters 2 and 3 are micro-clusters: cluster 2 buys about one distinct product, and cluster 3 holds seven extreme high-frequency, high-spend accounts.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5. Comparison of Algorithms (Task 5)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927FCF5">
      <w:pPr>
        <w:spacing/>
        <w:ind/>
        <w:rPr/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/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18"/>
        <w:gridCol w:w="2723"/>
        <w:gridCol w:w="3617"/>
      </w:tblGrid>
      <w:tr>
        <w:trPr>
          <w:tblHeader/>
        </w:trPr>
        <w:tc>
          <w:tcPr>
            <w:shd w:val="clear" w:color="auto" w:fill="f2f2f2"/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Measure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K-Means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DBSCAN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Selected parameters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K = 4, n_init = 10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eps = 0.5, min_samples = 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Number of clusters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4 (plus noise)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Cluster sizes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821, 1,245, 1,448, 820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2,519, 1,432, 9, 7 (noise: 367)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Silhouette Score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0.283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0.164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Davies-Bouldin Index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1.203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0.841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Calinski-Harabasz Index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2,630.9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820.4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Noise points (%)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0.00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8.47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018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Runtime (seconds)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23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0.176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617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0.138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i/>
        </w:rPr>
        <w:t xml:space="preserve">Table 10: Required performance comparison. All runs use the same standardised 4,334 × 4 feature space. K-Means metrics use all 4,334 customers. </w:t>
      </w:r>
      <w:r>
        <w:rPr>
          <w:rFonts w:ascii="Arial" w:hAnsi="Arial" w:eastAsia="Arial" w:cs="Arial"/>
          <w:b/>
          <w:i/>
        </w:rPr>
        <w:t xml:space="preserve">DBSCAN metrics exclude the 367 noise points and use only the 3,967 retained customers (91.53%)</w:t>
      </w:r>
      <w:r>
        <w:rPr>
          <w:rFonts w:ascii="Arial" w:hAnsi="Arial" w:eastAsia="Arial" w:cs="Arial"/>
          <w:i/>
        </w:rPr>
        <w:t xml:space="preserve">, so the two columns are not computed on the same sample. Runtimes are single runs on the same machine.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158AE95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911450E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76B71E7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4D83B41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5E7CC5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75"/>
        <w:gridCol w:w="2301"/>
        <w:gridCol w:w="3065"/>
        <w:gridCol w:w="1819"/>
      </w:tblGrid>
      <w:tr>
        <w:trPr>
          <w:tblHeader/>
        </w:trPr>
        <w:tc>
          <w:tcPr>
            <w:shd w:val="clear" w:color="auto" w:fill="f2f2f2"/>
            <w:tcBorders/>
            <w:tcW w:w="21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Metric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2301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K-Means (all 4,334)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30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K-Means (same 3,967 points as DBSCAN)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8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DBSCAN (3,967 non-noise points)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1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Silhouette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01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0.283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0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0.301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0.164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1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Davies-Bouldin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01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1.203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0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1.168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0.841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17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Calinski-Harabasz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01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2,630.9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065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2699.43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819" w:type="dxa"/>
          </w:tcPr>
          <w:p>
            <w:pPr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820.4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175" w:type="dxa"/>
            <w:vMerge w:val="restart"/>
          </w:tcPr>
          <w:p w14:paraId="58A75FFE">
            <w:pPr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% of records used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2301" w:type="dxa"/>
            <w:vMerge w:val="restart"/>
          </w:tcPr>
          <w:p w14:paraId="39F14DC9">
            <w:pPr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100%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065" w:type="dxa"/>
            <w:vMerge w:val="restart"/>
          </w:tcPr>
          <w:p w14:paraId="1CFCE0FB">
            <w:pPr>
              <w:spacing/>
              <w:ind/>
              <w:rPr>
                <w:rFonts w:ascii="Arial" w:hAnsi="Arial" w:eastAsia="Arial" w:cs="Arial"/>
                <w:strike/>
              </w:rPr>
            </w:pPr>
            <w:r>
              <w:rPr>
                <w:rFonts w:ascii="Arial" w:hAnsi="Arial" w:eastAsia="Arial" w:cs="Arial"/>
              </w:rPr>
              <w:t xml:space="preserve">91.53%</w:t>
            </w:r>
            <w:r>
              <w:rPr>
                <w:rFonts w:ascii="Arial" w:hAnsi="Arial" w:eastAsia="Arial" w:cs="Arial"/>
                <w:strike/>
              </w:rPr>
            </w:r>
            <w:r>
              <w:rPr>
                <w:rFonts w:ascii="Arial" w:hAnsi="Arial" w:eastAsia="Arial" w:cs="Arial"/>
                <w:strike/>
              </w:rPr>
            </w:r>
          </w:p>
        </w:tc>
        <w:tc>
          <w:tcPr>
            <w:tcBorders/>
            <w:tcW w:w="1819" w:type="dxa"/>
            <w:vMerge w:val="restart"/>
          </w:tcPr>
          <w:p w14:paraId="658D3181">
            <w:pPr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91.53%</w:t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i/>
        </w:rPr>
        <w:t xml:space="preserve">Table 11: Like-for-like comparison on identical records. Compare the last two columns directly.</w:t>
      </w:r>
      <w:r>
        <w:rPr>
          <w:rFonts w:ascii="Arial" w:hAnsi="Arial" w:eastAsia="Arial" w:cs="Arial"/>
        </w:rPr>
        <w:t xml:space="preserve">\</w:t>
      </w:r>
      <w:r>
        <w:rPr>
          <w:rFonts w:ascii="Arial" w:hAnsi="Arial" w:eastAsia="Arial" w:cs="Arial"/>
          <w:highlight w:val="none"/>
        </w:rPr>
      </w:r>
    </w:p>
    <w:p w14:paraId="6ADCC341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5386133B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463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91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43599" cy="3214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53.1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  <w:t xml:space="preserve">Figure 9: K-Means (left) and DBSCAN (right) in the same PCA space.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66DA93A7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E933F0D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8FFFBCB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3A7064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3FD060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E207F0D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6CF1CF8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</w:rPr>
        <w:t xml:space="preserve">Cluster shape and separation.</w:t>
      </w:r>
      <w:r>
        <w:rPr>
          <w:rFonts w:ascii="Arial" w:hAnsi="Arial" w:eastAsia="Arial" w:cs="Arial"/>
        </w:rPr>
        <w:t xml:space="preserve"> K-Means partitions the space into compact, roughly convex regions around centroids and assigns every customer to one of them. DBSCAN fo</w:t>
      </w:r>
      <w:r>
        <w:rPr>
          <w:rFonts w:ascii="Arial" w:hAnsi="Arial" w:eastAsia="Arial" w:cs="Arial"/>
        </w:rPr>
        <w:t xml:space="preserve">llows density: it finds one large dense region, a second region of one-time buyers and a few tiny groups. The metrics disagree. DBSCAN is better on Davies–Bouldin (0.841 against 1.203) but worse on Silhouette (0.164 against 0.283) and Calinski-Harabasz (82</w:t>
      </w:r>
      <w:r>
        <w:rPr>
          <w:rFonts w:ascii="Arial" w:hAnsi="Arial" w:eastAsia="Arial" w:cs="Arial"/>
        </w:rPr>
        <w:t xml:space="preserve">0 against 2,631). Two of DBSCAN’s four clusters contain only 9 and 7 customers, so its cluster count overstates how much structure it found. Scores computed on different samples should not be read as a direct ranking; Table 11 gives the like-for-like view.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C056974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</w:rPr>
        <w:t xml:space="preserve">Stability.</w:t>
      </w:r>
      <w:r>
        <w:rPr>
          <w:rFonts w:ascii="Arial" w:hAnsi="Arial" w:eastAsia="Arial" w:cs="Arial"/>
        </w:rPr>
        <w:t xml:space="preserve"> On 80% subsamples, DBSCAN reproduced its full-data partition with an Adjusted Rand Index (ARI) of 0.951 +- 0.006, while K-Means achieved 0.622 +- 0.301. The large K-Means spread shows that, because the data is a continuum, removing rando</w:t>
      </w:r>
      <w:r>
        <w:rPr>
          <w:rFonts w:ascii="Arial" w:hAnsi="Arial" w:eastAsia="Arial" w:cs="Arial"/>
        </w:rPr>
        <w:t xml:space="preserve">m boundary customers can shift where the centroids settle. DBSCAN’s high ARI should be read with care: its output is dominated by two large clusters and a noise group, so the partition is coarse and easy to reproduce. DBSCAN is stable under resampling but </w:t>
      </w:r>
      <w:r>
        <w:rPr>
          <w:rFonts w:ascii="Arial" w:hAnsi="Arial" w:eastAsia="Arial" w:cs="Arial"/>
          <w:b/>
        </w:rPr>
        <w:t xml:space="preserve">sensitive to parameters</w:t>
      </w:r>
      <w:r>
        <w:rPr>
          <w:rFonts w:ascii="Arial" w:hAnsi="Arial" w:eastAsia="Arial" w:cs="Arial"/>
        </w:rPr>
        <w:t xml:space="preserve">: raising eps from 0.5 to 0.6 collapses the result from 4 clusters to 2.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B170C19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</w:rPr>
        <w:t xml:space="preserve">Noise handling.</w:t>
      </w:r>
      <w:r>
        <w:rPr>
          <w:rFonts w:ascii="Arial" w:hAnsi="Arial" w:eastAsia="Arial" w:cs="Arial"/>
        </w:rPr>
        <w:t xml:space="preserve"> DBSCAN labels 367 customers (8.47%) as noise. These customers average 12.8 invoices and £10,950 in spend, and </w:t>
      </w:r>
      <w:r>
        <w:rPr>
          <w:rFonts w:ascii="Arial" w:hAnsi="Arial" w:eastAsia="Arial" w:cs="Arial"/>
          <w:b/>
        </w:rPr>
        <w:t xml:space="preserve">together they account for 46.0% of total revenue</w:t>
      </w:r>
      <w:r>
        <w:rPr>
          <w:rFonts w:ascii="Arial" w:hAnsi="Arial" w:eastAsia="Arial" w:cs="Arial"/>
        </w:rPr>
        <w:t xml:space="preserve">. Treating the most valuable customers as noise is a serious drawback for segmentation, although it makes DBSCAN a useful outlier detector.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777289C0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</w:rPr>
        <w:t xml:space="preserve">Runtime.</w:t>
      </w:r>
      <w:r>
        <w:rPr>
          <w:rFonts w:ascii="Arial" w:hAnsi="Arial" w:eastAsia="Arial" w:cs="Arial"/>
        </w:rPr>
        <w:t xml:space="preserve"> Both algorithms finish in well under a second (0.176 s and 0.138 s), so runtime does not separate them at this scale.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58C577C9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</w:rPr>
        <w:t xml:space="preserve">Recommendation.</w:t>
      </w:r>
      <w:r>
        <w:rPr>
          <w:rFonts w:ascii="Arial" w:hAnsi="Arial" w:eastAsia="Arial" w:cs="Arial"/>
        </w:rPr>
        <w:t xml:space="preserve"> K-M</w:t>
      </w:r>
      <w:r>
        <w:rPr>
          <w:rFonts w:ascii="Arial" w:hAnsi="Arial" w:eastAsia="Arial" w:cs="Arial"/>
        </w:rPr>
        <w:t xml:space="preserve">eans with K = 4 is recommended for customer segmentation because every customer receives an actionable segment and the clusters are balanced and interpretable. DBSCAN should be used alongside it to isolate extreme accounts for a dedicated high-touch track.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3C79B844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0602EDE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5F08AD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62E937C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D60CB8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AA3A370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4C4A57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ED84119"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6. Interpretation of Results (Task 6)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1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"/>
        <w:gridCol w:w="1559"/>
        <w:gridCol w:w="1275"/>
        <w:gridCol w:w="1305"/>
        <w:gridCol w:w="4285"/>
      </w:tblGrid>
      <w:tr>
        <w:trPr>
          <w:tblHeader/>
        </w:trPr>
        <w:tc>
          <w:tcPr>
            <w:shd w:val="clear" w:color="auto" w:fill="f2f2f2"/>
            <w:tcBorders/>
            <w:tcW w:w="936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Cluster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559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Name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27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Customers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130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Share of revenue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2f2"/>
            <w:tcBorders/>
            <w:tcW w:w="428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Description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36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559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Champions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7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821 (18.9%)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0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68.0%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8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Bought a median of 10 days ago, about 9 invoices (mean 12.6), mean spend £7,237 and about 156 distinct products. Frequent, recent, high-value buyers, probably including trade or wholesale accounts.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36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559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Occasional Regulars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7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1,245 (28.7%)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0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21.5%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8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Median 65 days since last purchase (mean 86), about 3 invoices and median spend £1,096. Reliable but infrequent buyers who form the steady middle of the base.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36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559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Lapsed One-Timers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7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1,448 (33.4%)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0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5.0%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8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About 184 days since last purchase, a median of 1 invoice and median spend £251. One-off or long-lapsed customers.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36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559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Recent Low-Spenders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27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820 (18.9%)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30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5.5%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4285" w:type="dxa"/>
          </w:tcPr>
          <w:p>
            <w:pPr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B</w:t>
            </w:r>
            <w:r>
              <w:rPr>
                <w:rFonts w:ascii="Arial" w:hAnsi="Arial" w:eastAsia="Arial" w:cs="Arial"/>
              </w:rPr>
              <w:t xml:space="preserve">ought recently (median 17.5 days) but only about 2 invoices, median spend £464 and 28 products. Given that Cell 24 shows a very short median tenure of 34.0 days for this group (Cluster 2), this confirms they are recently acquired, so we rename this group t</w:t>
            </w:r>
            <w:r>
              <w:rPr>
                <w:rFonts w:ascii="Arial" w:hAnsi="Arial" w:eastAsia="Arial" w:cs="Arial"/>
              </w:rPr>
              <w:t xml:space="preserve">o 'New Customers'.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</w:rPr>
        <w:t xml:space="preserve">Table 12: Named K-Means segments, supported by Tables 6 and 7.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6.1 Actionable recommendations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4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Protect Champions with a VIP programme.</w:t>
      </w:r>
      <w:r>
        <w:rPr>
          <w:rFonts w:ascii="Arial" w:hAnsi="Arial" w:eastAsia="Arial" w:cs="Arial"/>
        </w:rPr>
        <w:t xml:space="preserve"> Thi</w:t>
      </w:r>
      <w:r>
        <w:rPr>
          <w:rFonts w:ascii="Arial" w:hAnsi="Arial" w:eastAsia="Arial" w:cs="Arial"/>
        </w:rPr>
        <w:t xml:space="preserve">s group is 18.9% of customers but 68.0% of revenue, so losing even a few is costly. Offer dedicated account management, volume-based pricing and early access to stock, and place the DBSCAN noise accounts (46.0% of revenue) on a personal-contact watch-list.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4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Convert Recent Low-Spenders into repeat buyers.</w:t>
      </w:r>
      <w:r>
        <w:rPr>
          <w:rFonts w:ascii="Arial" w:hAnsi="Arial" w:eastAsia="Arial" w:cs="Arial"/>
        </w:rPr>
        <w:t xml:space="preserve"> They have bought </w:t>
      </w:r>
      <w:r>
        <w:rPr>
          <w:rFonts w:ascii="Arial" w:hAnsi="Arial" w:eastAsia="Arial" w:cs="Arial"/>
        </w:rPr>
        <w:t xml:space="preserve">recently but with little variety (28 products against 119 for Champions). Send an automated post-purchase email series with popular-product recommendations and bundle offers, and track the share that move into the Occasional Regulars or Champions segments.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4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Re-engage Occasional Regulars before they lapse.</w:t>
      </w:r>
      <w:r>
        <w:rPr>
          <w:rFonts w:ascii="Arial" w:hAnsi="Arial" w:eastAsia="Arial" w:cs="Arial"/>
        </w:rPr>
        <w:t xml:space="preserve"> Their median recency is 65 days, while lapsed customers sit at about 184 days. Trigger a reminder or modest incentive at roughly 60 to 90 days since the last order.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4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Limit spend on Lapsed One-Timers.</w:t>
      </w:r>
      <w:r>
        <w:rPr>
          <w:rFonts w:ascii="Arial" w:hAnsi="Arial" w:eastAsia="Arial" w:cs="Arial"/>
        </w:rPr>
        <w:t xml:space="preserve"> They are a third of customers but 5.0% of revenue. Run a low-cost win-back campaign as an A/B test and stop if the response rate is poor.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6.2 Limitations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5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Outliers:</w:t>
      </w:r>
      <w:r>
        <w:rPr>
          <w:rFonts w:ascii="Arial" w:hAnsi="Arial" w:eastAsia="Arial" w:cs="Arial"/>
        </w:rPr>
        <w:t xml:space="preserve"> Log transformation reduces but does not remove the influence of very large customers. K-Means pulls its Champions centroid towards them, while DBSCAN discards them as noise.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5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Feature selection:</w:t>
      </w:r>
      <w:r>
        <w:rPr>
          <w:rFonts w:ascii="Arial" w:hAnsi="Arial" w:eastAsia="Arial" w:cs="Arial"/>
        </w:rPr>
        <w:t xml:space="preserve"> Onl</w:t>
      </w:r>
      <w:r>
        <w:rPr>
          <w:rFonts w:ascii="Arial" w:hAnsi="Arial" w:eastAsia="Arial" w:cs="Arial"/>
        </w:rPr>
        <w:t xml:space="preserve">y four behavioural features were used. Product category, return behaviour, country, seasonality and customer tenure are not captured, and Frequency and UniqueProducts may partly overlap (see Appendix A2). Frequency stayed right-skewed after transformation.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5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Parameter sensitivity:</w:t>
      </w:r>
      <w:r>
        <w:rPr>
          <w:rFonts w:ascii="Arial" w:hAnsi="Arial" w:eastAsia="Arial" w:cs="Arial"/>
        </w:rPr>
        <w:t xml:space="preserve"> K-Means requires K in advance, and the Silhouette score favoured K = 2 while K = 4 was chosen for interpretability. DBSCAN’s cluster count ranged from 50 to 1 across the eps grid, so its result depends heavily on eps.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14"/>
        <w:numPr>
          <w:ilvl w:val="0"/>
          <w:numId w:val="5"/>
        </w:num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Data scope:</w:t>
      </w:r>
      <w:r>
        <w:rPr>
          <w:rFonts w:ascii="Arial" w:hAnsi="Arial" w:eastAsia="Arial" w:cs="Arial"/>
        </w:rPr>
        <w:t xml:space="preserve"> About a quarter of rows had no CustomerID and were dropped, and the data covers a single year from one retailer. The two-dimensional PCA plots lose some variance, so overlap in the plots is not a full picture.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5"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 Conclusion (Task 7)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Cleaning the Online Retail data and aggregating it into Recen</w:t>
      </w:r>
      <w:r>
        <w:rPr>
          <w:rFonts w:ascii="Arial" w:hAnsi="Arial" w:eastAsia="Arial" w:cs="Arial"/>
        </w:rPr>
        <w:t xml:space="preserve">cy, Frequency, Monetary and UniqueProducts features gave 4,334 customers. Customer behaviour forms a continuum with weak-to-moderate cluster structure (K-Means Silhouette 0.283). K-Means with K = 4 produced four interpretable segments, led by Champions, wh</w:t>
      </w:r>
      <w:r>
        <w:rPr>
          <w:rFonts w:ascii="Arial" w:hAnsi="Arial" w:eastAsia="Arial" w:cs="Arial"/>
        </w:rPr>
        <w:t xml:space="preserve">o are 18.9% of customers and generate 68.0% of revenue. DBSCAN (eps = 0.5, min_samples = 8) found two large groups, two micro-clusters and 8.47% noise; the noise was mostly very high-value customers (46.0% of revenue), and the result was sensitive to eps. </w:t>
      </w:r>
      <w:r>
        <w:rPr>
          <w:rFonts w:ascii="Arial" w:hAnsi="Arial" w:eastAsia="Arial" w:cs="Arial"/>
          <w:b/>
        </w:rPr>
        <w:t xml:space="preserve">K-Means is the preferred method</w:t>
      </w:r>
      <w:r>
        <w:rPr>
          <w:rFonts w:ascii="Arial" w:hAnsi="Arial" w:eastAsia="Arial" w:cs="Arial"/>
        </w:rPr>
        <w:t xml:space="preserve"> for segmentation, with DBSCAN retained as an outlier-flagging tool.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Possible improvements include adding tenure, return ra</w:t>
      </w:r>
      <w:r>
        <w:rPr>
          <w:rFonts w:ascii="Arial" w:hAnsi="Arial" w:eastAsia="Arial" w:cs="Arial"/>
        </w:rPr>
        <w:t xml:space="preserve">te, basket size and product-category features (for example from text analysis of Description), trying Gaussian mixture models, hierarchical clustering or HDBSCAN (which removes the single-eps limitation), and validating the segments on a later time period.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5"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Generative AI Declaration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 used generative AI assistants Claude by Anthropic to help structure the note</w:t>
      </w:r>
      <w:r>
        <w:rPr>
          <w:rFonts w:ascii="Arial" w:hAnsi="Arial" w:eastAsia="Arial" w:cs="Arial"/>
        </w:rPr>
        <w:t xml:space="preserve">book and compare between Jupiter Notebook vs Google c</w:t>
      </w:r>
      <w:r>
        <w:rPr>
          <w:rFonts w:ascii="Arial" w:hAnsi="Arial" w:eastAsia="Arial" w:cs="Arial"/>
        </w:rPr>
        <w:t xml:space="preserve">olab, draft code for cleaning, feature engineering, K-Means, DBSCAN and metric computation, debug errors and draft wording for the report. I ran all code myself, checked the outputs against my own results and edited the interpretations and recommendations.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 w14:paraId="45C11512">
      <w:pPr>
        <w:pStyle w:val="905"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 w14:paraId="5B25788D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B11FA2B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616F323">
      <w:pPr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24855E3"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5B0EA5B"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References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Caliński, T. and Harabasz, J. (1974). A dendrite method for cluster analysis. </w:t>
      </w:r>
      <w:r>
        <w:rPr>
          <w:rFonts w:ascii="Arial" w:hAnsi="Arial" w:eastAsia="Arial" w:cs="Arial"/>
          <w:i/>
        </w:rPr>
        <w:t xml:space="preserve">Communications in Statistics</w:t>
      </w:r>
      <w:r>
        <w:rPr>
          <w:rFonts w:ascii="Arial" w:hAnsi="Arial" w:eastAsia="Arial" w:cs="Arial"/>
        </w:rPr>
        <w:t xml:space="preserve">, 3(1), 1–27.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Chen, D. (2015). </w:t>
      </w:r>
      <w:r>
        <w:rPr>
          <w:rFonts w:ascii="Arial" w:hAnsi="Arial" w:eastAsia="Arial" w:cs="Arial"/>
          <w:i/>
        </w:rPr>
        <w:t xml:space="preserve">Online Retail</w:t>
      </w:r>
      <w:r>
        <w:rPr>
          <w:rFonts w:ascii="Arial" w:hAnsi="Arial" w:eastAsia="Arial" w:cs="Arial"/>
        </w:rPr>
        <w:t xml:space="preserve"> [Dataset]. UCI Machine Learning Repository. https://doi.org/10.24432/C5BW33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Chen, D., Sain, S. L. and Guo, K. (2012). Data mining for the online retail industry: A case study of RFM model-based customer segmentation using data mining. </w:t>
      </w:r>
      <w:r>
        <w:rPr>
          <w:rFonts w:ascii="Arial" w:hAnsi="Arial" w:eastAsia="Arial" w:cs="Arial"/>
          <w:i/>
        </w:rPr>
        <w:t xml:space="preserve">Journal of Database Marketing &amp; Customer Strategy Management</w:t>
      </w:r>
      <w:r>
        <w:rPr>
          <w:rFonts w:ascii="Arial" w:hAnsi="Arial" w:eastAsia="Arial" w:cs="Arial"/>
        </w:rPr>
        <w:t xml:space="preserve">, 19(3), 197–208.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Davies, D. L. and Bouldin, D. W. (1979). A cluster separation measure. </w:t>
      </w:r>
      <w:r>
        <w:rPr>
          <w:rFonts w:ascii="Arial" w:hAnsi="Arial" w:eastAsia="Arial" w:cs="Arial"/>
          <w:i/>
        </w:rPr>
        <w:t xml:space="preserve">IEEE Transactions on Pattern Analysis and Machine Intelligence</w:t>
      </w:r>
      <w:r>
        <w:rPr>
          <w:rFonts w:ascii="Arial" w:hAnsi="Arial" w:eastAsia="Arial" w:cs="Arial"/>
        </w:rPr>
        <w:t xml:space="preserve">, 1(2), 224–227.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Ester, M., Kriegel, H.-P., Sander, J. and Xu, X. (1996). A density-based algorithm for discovering clusters in large spatial databases with noise. </w:t>
      </w:r>
      <w:r>
        <w:rPr>
          <w:rFonts w:ascii="Arial" w:hAnsi="Arial" w:eastAsia="Arial" w:cs="Arial"/>
          <w:i/>
        </w:rPr>
        <w:t xml:space="preserve">Proceedings of KDD-96</w:t>
      </w:r>
      <w:r>
        <w:rPr>
          <w:rFonts w:ascii="Arial" w:hAnsi="Arial" w:eastAsia="Arial" w:cs="Arial"/>
        </w:rPr>
        <w:t xml:space="preserve">, 226–231.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Pedregosa, F. et al. (2011). Scikit-learn: Machine learning in Python. </w:t>
      </w:r>
      <w:r>
        <w:rPr>
          <w:rFonts w:ascii="Arial" w:hAnsi="Arial" w:eastAsia="Arial" w:cs="Arial"/>
          <w:i/>
        </w:rPr>
        <w:t xml:space="preserve">Journal of Machine Learning Research</w:t>
      </w:r>
      <w:r>
        <w:rPr>
          <w:rFonts w:ascii="Arial" w:hAnsi="Arial" w:eastAsia="Arial" w:cs="Arial"/>
        </w:rPr>
        <w:t xml:space="preserve">, 12, 2825–2830.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Rousseeuw, P. J. (1987). Silhouettes: A graphical aid to the interpretation and validation of cluster analysis. </w:t>
      </w:r>
      <w:r>
        <w:rPr>
          <w:rFonts w:ascii="Arial" w:hAnsi="Arial" w:eastAsia="Arial" w:cs="Arial"/>
          <w:i/>
        </w:rPr>
        <w:t xml:space="preserve">Journal of Computational and Applied Mathematics</w:t>
      </w:r>
      <w:r>
        <w:rPr>
          <w:rFonts w:ascii="Arial" w:hAnsi="Arial" w:eastAsia="Arial" w:cs="Arial"/>
        </w:rPr>
        <w:t xml:space="preserve">, 20, 53–65.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5"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Appendix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A1. Outlier boxplots.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2761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35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4227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32.88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A2. Correlation heatmap of the log-transformed features.</w:t>
      </w:r>
      <w:r>
        <w:rPr>
          <w:rFonts w:ascii="Arial" w:hAnsi="Arial" w:eastAsia="Arial" w:cs="Arial"/>
        </w:rPr>
        <w:t xml:space="preserve"> </w:t>
        <mc:AlternateContent>
          <mc:Choice Requires="wpg">
            <w:drawing>
              <wp:inline xmlns:wp="http://schemas.openxmlformats.org/drawingml/2006/wordprocessingDrawing" distT="0" distB="0" distL="0" distR="0">
                <wp:extent cx="3665677" cy="323087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698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665676" cy="3230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88.64pt;height:254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A3. Full DBSCAN parameter grid.</w:t>
      </w:r>
      <w:r>
        <w:rPr>
          <w:rFonts w:ascii="Arial" w:hAnsi="Arial" w:eastAsia="Arial" w:cs="Arial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3908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821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1239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97.5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A4. Stability and sensitivity results.</w:t>
      </w:r>
      <w:r>
        <w:rPr>
          <w:rFonts w:ascii="Arial" w:hAnsi="Arial" w:eastAsia="Arial" w:cs="Arial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24384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792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229100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33.00pt;height:192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A5. Tenure and K-Means versus DBSCAN cross-tabulation.</w:t>
      </w:r>
      <w:r>
        <w:rPr>
          <w:rFonts w:ascii="Arial" w:hAnsi="Arial" w:eastAsia="Arial" w:cs="Arial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1927" cy="371082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8830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141926" cy="3710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6.14pt;height:292.1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FE1BE22">
    <w:pPr>
      <w:pStyle w:val="881"/>
      <w:spacing/>
      <w:ind/>
      <w:jc w:val="right"/>
      <w:rPr/>
    </w:pPr>
    <w:fldSimple w:instr="PAGE \* MERGEFORMAT">
      <w:r>
        <w:t xml:space="preserve">1</w:t>
      </w:r>
    </w:fldSimple>
    <w:r/>
    <w:r/>
  </w:p>
  <w:p w14:paraId="224884A6">
    <w:pPr>
      <w:pStyle w:val="881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>
    <w:name w:val="Table Grid Light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7"/>
    <w:basedOn w:val="903"/>
    <w:next w:val="903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3"/>
    <w:next w:val="903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3"/>
    <w:next w:val="903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854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4"/>
    <w:link w:val="9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4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4"/>
    <w:link w:val="9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854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3"/>
    <w:next w:val="903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Quote Char"/>
    <w:basedOn w:val="854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3"/>
    <w:next w:val="903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85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3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3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3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3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pBdr/>
      <w:spacing/>
      <w:ind/>
    </w:pPr>
  </w:style>
  <w:style w:type="paragraph" w:styleId="904">
    <w:name w:val="Heading 1"/>
    <w:basedOn w:val="903"/>
    <w:next w:val="903"/>
    <w:qFormat/>
    <w:pPr>
      <w:keepNext w:val="true"/>
      <w:pBdr/>
      <w:spacing w:after="120" w:before="360"/>
      <w:ind/>
      <w:outlineLvl w:val="0"/>
    </w:pPr>
    <w:rPr>
      <w:b/>
      <w:sz w:val="32"/>
    </w:rPr>
  </w:style>
  <w:style w:type="paragraph" w:styleId="905">
    <w:name w:val="Heading 2"/>
    <w:basedOn w:val="903"/>
    <w:next w:val="903"/>
    <w:qFormat/>
    <w:pPr>
      <w:keepNext w:val="true"/>
      <w:pBdr/>
      <w:spacing w:after="100" w:before="280"/>
      <w:ind/>
      <w:outlineLvl w:val="1"/>
    </w:pPr>
    <w:rPr>
      <w:b/>
      <w:sz w:val="26"/>
    </w:rPr>
  </w:style>
  <w:style w:type="paragraph" w:styleId="906">
    <w:name w:val="Heading 3"/>
    <w:basedOn w:val="903"/>
    <w:next w:val="903"/>
    <w:qFormat/>
    <w:pPr>
      <w:keepNext w:val="true"/>
      <w:pBdr/>
      <w:spacing w:after="80" w:before="240"/>
      <w:ind/>
      <w:outlineLvl w:val="2"/>
    </w:pPr>
    <w:rPr>
      <w:b/>
      <w:sz w:val="24"/>
    </w:rPr>
  </w:style>
  <w:style w:type="paragraph" w:styleId="907">
    <w:name w:val="Heading 4"/>
    <w:basedOn w:val="903"/>
    <w:next w:val="903"/>
    <w:qFormat/>
    <w:pPr>
      <w:keepNext w:val="true"/>
      <w:pBdr/>
      <w:spacing/>
      <w:ind/>
      <w:outlineLvl w:val="3"/>
    </w:pPr>
    <w:rPr>
      <w:b/>
      <w:sz w:val="22"/>
    </w:rPr>
  </w:style>
  <w:style w:type="paragraph" w:styleId="908">
    <w:name w:val="Heading 5"/>
    <w:basedOn w:val="903"/>
    <w:next w:val="903"/>
    <w:qFormat/>
    <w:pPr>
      <w:keepNext w:val="true"/>
      <w:pBdr/>
      <w:spacing/>
      <w:ind/>
      <w:outlineLvl w:val="4"/>
    </w:pPr>
    <w:rPr>
      <w:b/>
      <w:sz w:val="22"/>
    </w:rPr>
  </w:style>
  <w:style w:type="paragraph" w:styleId="909">
    <w:name w:val="Heading 6"/>
    <w:basedOn w:val="903"/>
    <w:next w:val="903"/>
    <w:qFormat/>
    <w:pPr>
      <w:keepNext w:val="true"/>
      <w:pBdr/>
      <w:spacing/>
      <w:ind/>
      <w:outlineLvl w:val="5"/>
    </w:pPr>
    <w:rPr>
      <w:i/>
      <w:sz w:val="22"/>
    </w:rPr>
  </w:style>
  <w:style w:type="paragraph" w:styleId="910">
    <w:name w:val="Title"/>
    <w:basedOn w:val="903"/>
    <w:next w:val="903"/>
    <w:qFormat/>
    <w:pPr>
      <w:pBdr/>
      <w:spacing w:after="80"/>
      <w:ind/>
      <w:contextualSpacing w:val="true"/>
    </w:pPr>
    <w:rPr>
      <w:sz w:val="56"/>
    </w:rPr>
  </w:style>
  <w:style w:type="paragraph" w:styleId="911">
    <w:name w:val="Quote"/>
    <w:basedOn w:val="903"/>
    <w:qFormat/>
    <w:pPr>
      <w:pBdr>
        <w:left w:val="single" w:color="a0a0a0" w:sz="12" w:space="8"/>
      </w:pBdr>
      <w:spacing/>
      <w:ind w:right="720" w:left="720"/>
    </w:pPr>
    <w:rPr>
      <w:i/>
      <w:color w:val="404040"/>
    </w:rPr>
  </w:style>
  <w:style w:type="paragraph" w:styleId="912">
    <w:name w:val="Code"/>
    <w:basedOn w:val="903"/>
    <w:link w:val="913"/>
    <w:pPr>
      <w:pBdr/>
      <w:shd w:val="clear" w:color="auto" w:fill="f5f5f5"/>
      <w:spacing w:after="0" w:line="240" w:lineRule="auto"/>
      <w:ind/>
      <w:contextualSpacing w:val="true"/>
    </w:pPr>
    <w:rPr>
      <w:rFonts w:ascii="Consolas" w:hAnsi="Consolas" w:eastAsia="Consolas" w:cs="Consolas"/>
      <w:sz w:val="20"/>
    </w:rPr>
  </w:style>
  <w:style w:type="character" w:styleId="913">
    <w:name w:val="Code Char"/>
    <w:link w:val="912"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  <w:style w:type="paragraph" w:styleId="914">
    <w:name w:val="List Paragraph"/>
    <w:basedOn w:val="903"/>
    <w:qFormat/>
    <w:pPr>
      <w:pBdr/>
      <w:spacing/>
      <w:ind w:left="720"/>
      <w:contextualSpacing w:val="true"/>
    </w:pPr>
  </w:style>
  <w:style w:type="character" w:styleId="915">
    <w:name w:val="Hyperlink"/>
    <w:pPr>
      <w:pBdr/>
      <w:spacing/>
      <w:ind/>
    </w:pPr>
    <w:rPr>
      <w:color w:val="0563c1"/>
      <w:u w:val="single"/>
    </w:rPr>
  </w:style>
  <w:style w:type="paragraph" w:styleId="916">
    <w:name w:val="annotation text"/>
    <w:basedOn w:val="903"/>
    <w:pPr>
      <w:pBdr/>
      <w:spacing w:line="240" w:lineRule="auto"/>
      <w:ind/>
    </w:pPr>
    <w:rPr>
      <w:sz w:val="20"/>
      <w:szCs w:val="20"/>
    </w:rPr>
  </w:style>
  <w:style w:type="character" w:styleId="917">
    <w:name w:val="annotation reference"/>
    <w:pPr>
      <w:pBdr/>
      <w:spacing/>
      <w:ind/>
    </w:pPr>
    <w:rPr>
      <w:sz w:val="16"/>
      <w:szCs w:val="16"/>
    </w:rPr>
  </w:style>
  <w:style w:type="table" w:styleId="918" w:default="1">
    <w:name w:val="Normal Table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Table Grid"/>
    <w:basedOn w:val="918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Segmentation for an Online Retailer K-Means versus DBSCAN</dc:title>
  <dc:description>Claude Docs node/a7a0437f-9cf5@1 docx-w7</dc:description>
  <cp:revision>3</cp:revision>
  <dcterms:modified xsi:type="dcterms:W3CDTF">2026-10-17T17:28:19Z</dcterms:modified>
</cp:coreProperties>
</file>