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Georgia" w:hAnsi="Georgia"/>
          <w:b/>
          <w:color w:val="1A1A1A"/>
          <w:sz w:val="48"/>
          <w:spacing w:val="20"/>
        </w:rPr>
        <w:t>DINC CETINTAS</w:t>
      </w:r>
    </w:p>
    <w:p>
      <w:pPr>
        <w:spacing w:after="60"/>
        <w:jc w:val="center"/>
      </w:pPr>
      <w:r>
        <w:rPr>
          <w:color w:val="1F3A5F"/>
          <w:sz w:val="22"/>
          <w:spacing w:val="48"/>
        </w:rPr>
        <w:t>AI ENGINEER</w:t>
      </w:r>
    </w:p>
    <w:p>
      <w:pPr>
        <w:spacing w:after="180"/>
        <w:jc w:val="center"/>
        <w:pBdr>
          <w:bottom w:val="single" w:sz="4" w:space="4" w:color="1F3A5F"/>
        </w:pBdr>
      </w:pPr>
      <w:r>
        <w:rPr>
          <w:color w:val="565656"/>
          <w:sz w:val="17"/>
        </w:rPr>
        <w:t>EU Citizen, Cyprus</w:t>
      </w:r>
      <w:r>
        <w:rPr>
          <w:color w:val="AAAAAA"/>
          <w:sz w:val="17"/>
        </w:rPr>
        <w:t xml:space="preserve">   |   </w:t>
      </w:r>
      <w:hyperlink r:id="rId9">
        <w:r>
          <w:rPr>
            <w:color w:val="1F3A5F"/>
            <w:sz w:val="17"/>
          </w:rPr>
          <w:t xml:space="preserve">dinccetintas24@gmail.com</w:t>
        </w:r>
      </w:hyperlink>
      <w:r>
        <w:rPr>
          <w:color w:val="AAAAAA"/>
          <w:sz w:val="17"/>
        </w:rPr>
        <w:t xml:space="preserve">   |   </w:t>
      </w:r>
      <w:r>
        <w:rPr>
          <w:color w:val="565656"/>
          <w:sz w:val="17"/>
        </w:rPr>
        <w:t>+974 51444964</w:t>
      </w:r>
      <w:r>
        <w:rPr>
          <w:color w:val="AAAAAA"/>
          <w:sz w:val="17"/>
        </w:rPr>
        <w:t xml:space="preserve">   |   </w:t>
      </w:r>
      <w:hyperlink r:id="rId10">
        <w:r>
          <w:rPr>
            <w:color w:val="1F3A5F"/>
            <w:sz w:val="17"/>
          </w:rPr>
          <w:t xml:space="preserve">LinkedIn</w:t>
        </w:r>
      </w:hyperlink>
      <w:r>
        <w:rPr>
          <w:color w:val="AAAAAA"/>
          <w:sz w:val="17"/>
        </w:rPr>
        <w:t xml:space="preserve">   |   </w:t>
      </w:r>
      <w:hyperlink r:id="rId11">
        <w:r>
          <w:rPr>
            <w:color w:val="1F3A5F"/>
            <w:sz w:val="17"/>
          </w:rPr>
          <w:t xml:space="preserve">GitHub</w:t>
        </w:r>
      </w:hyperlink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PROFESSIONAL EXPERIENCE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color w:val="565656"/>
          <w:sz w:val="19"/>
        </w:rPr>
        <w:t>Jan 2024 – Present</w:t>
      </w:r>
    </w:p>
    <w:p>
      <w:pPr>
        <w:pStyle w:val="ListBullet"/>
        <w:spacing w:after="60"/>
      </w:pPr>
      <w:r>
        <w:t>Built a reusable AI platform — a shared retrieval/embeddings service, a shared evaluation framework, and a common model-serving API — that multiple teams consumed to ship production AI applications across 7+ business teams and 200+ users, cutting time-to-delivery for each new app.</w:t>
      </w:r>
    </w:p>
    <w:p>
      <w:pPr>
        <w:pStyle w:val="ListBullet"/>
        <w:spacing w:after="60"/>
      </w:pPr>
      <w:r>
        <w:t>Chose hybrid retrieval (BM25 + vector) with reranking after semantic-only search missed exact regulatory and financial terminology, surfacing authoritative, citation-grounded passages for compliance and reaching 87% source-linked retrieval accuracy over 900+ documents.</w:t>
      </w:r>
    </w:p>
    <w:p>
      <w:pPr>
        <w:pStyle w:val="ListBullet"/>
        <w:spacing w:after="60"/>
      </w:pPr>
      <w:r>
        <w:t>Eliminated unsupported model outputs caught in pre-release testing via citation-grounded generation and retrieval-quality gates, then added post-deployment monitoring and feedback loops that detect retrieval regressions and hallucinations and feed them back into evaluation.</w:t>
      </w:r>
    </w:p>
    <w:p>
      <w:pPr>
        <w:pStyle w:val="ListBullet"/>
        <w:spacing w:after="60"/>
      </w:pPr>
      <w:r>
        <w:t>Defined architectural, evaluation, and release standards for the production AI I built — automated benchmarks (retrieval quality, grounding, hallucination), schema-validated structured outputs, prompt versioning, human review loops, and auditability enforced before every deployment.</w:t>
      </w:r>
    </w:p>
    <w:p>
      <w:pPr>
        <w:pStyle w:val="ListBullet"/>
        <w:spacing w:after="60"/>
      </w:pPr>
      <w:r>
        <w:t>Owned the FastAPI/REST serving layer with model routing, fallback strategies, and context engineering (context-window budgeting and compaction for long documents), cutting inference latency ~40% through optimized retrieval and containerized serving (Docker, Kubernetes, MLflow) with production monitoring.</w:t>
      </w:r>
    </w:p>
    <w:p>
      <w:pPr>
        <w:pStyle w:val="ListBullet"/>
        <w:spacing w:after="60"/>
      </w:pPr>
      <w:r>
        <w:t>Developed production AI workflows for credit-risk and financial analysis that retrieve source data, call internal tools, reason with an LLM, and validate every output against a JSON schema to produce structured, analyst-ready reports.</w:t>
      </w:r>
    </w:p>
    <w:p>
      <w:pPr>
        <w:pStyle w:val="ListBullet"/>
        <w:spacing w:after="60"/>
      </w:pPr>
      <w:r>
        <w:t>Built an AI email &amp; inquiry assistant handling 500+ requests/week with schema-validated structured outputs, cutting manual workload 70% and earning the COO Problem Solver Award.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Partnered with risk, compliance, and business stakeholders to define requirements, align on success metrics, and drive adoption of production AI systems across multiple teams.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color w:val="565656"/>
          <w:sz w:val="19"/>
        </w:rPr>
        <w:t>Feb 2023 – Jan 2024</w:t>
      </w:r>
    </w:p>
    <w:p>
      <w:pPr>
        <w:pStyle w:val="ListBullet"/>
        <w:spacing w:after="60"/>
      </w:pPr>
      <w:r>
        <w:t>Built a low-latency order-execution platform — including smart order-routing and execution algorithms — adopted by 23 brokerage firms managing $10M+ in portfolios, achieving microsecond-level execution.</w:t>
      </w:r>
    </w:p>
    <w:p>
      <w:pPr>
        <w:pStyle w:val="ListBullet"/>
        <w:spacing w:after="60"/>
      </w:pPr>
      <w:r>
        <w:t>Engineered the ultra-low-latency execution path by optimizing ITCH, OUCH, and TCP protocols against co-located exchange servers, and built the full production stack (React/C#/C++ frontend, backend services, and live market-data feeds).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color w:val="565656"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BM25+vector, reranking, citation grounding), tool / function calling, structured outputs &amp; JSON-schema validation, prompt versioning, context engineering, agentic workflows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monitoring &amp; feedback loops, model routing &amp; fallback strategies,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flows for Arabic/English ID &amp; financial docs; ~65% faster, traceable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layout-preserving, data-resident; ~$120K/yr third-party spend eliminated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ADDITIONAL</w:t>
      </w:r>
    </w:p>
    <w:p>
      <w:r>
        <w:t>Languages: English (professional)</w:t>
      </w:r>
    </w:p>
    <w:sectPr w:rsidR="00FC693F" w:rsidRPr="0006063C" w:rsidSect="00034616">
      <w:pgSz w:w="12240" w:h="15840"/>
      <w:pgMar w:top="760" w:right="1080" w:bottom="7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inccetintas24@gmail.com" TargetMode="External"/><Relationship Id="rId10" Type="http://schemas.openxmlformats.org/officeDocument/2006/relationships/hyperlink" Target="https://www.linkedin.com/in/dinc-cetintas-79a04b205/" TargetMode="External"/><Relationship Id="rId11" Type="http://schemas.openxmlformats.org/officeDocument/2006/relationships/hyperlink" Target="https://github.com/dinccetint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