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DINC CETINTAS</w:t>
      </w:r>
    </w:p>
    <w:p>
      <w:pPr>
        <w:spacing w:after="40"/>
        <w:jc w:val="center"/>
      </w:pPr>
      <w:r>
        <w:rPr>
          <w:color w:val="1F3A5F"/>
          <w:sz w:val="24"/>
        </w:rPr>
        <w:t>AI Engineer</w:t>
      </w:r>
    </w:p>
    <w:p>
      <w:pPr>
        <w:spacing w:after="80"/>
        <w:jc w:val="center"/>
      </w:pPr>
      <w:r>
        <w:rPr>
          <w:sz w:val="17"/>
        </w:rPr>
        <w:t>EU Citizen — no visa sponsorship required  ·  Cyprus  ·  dinccetintas24@gmail.com  ·  +974 51444964  ·  linkedin.com/in/dinc-cetintas-79a04b205  ·  GitHub</w:t>
      </w:r>
    </w:p>
    <w:p>
      <w:pPr>
        <w:spacing w:before="200" w:after="40"/>
      </w:pPr>
      <w:r>
        <w:rPr>
          <w:b/>
          <w:color w:val="1F3A5F"/>
          <w:sz w:val="22"/>
        </w:rPr>
        <w:t>PROFILE</w:t>
      </w:r>
    </w:p>
    <w:p>
      <w:r>
        <w:t>AI Engineer who owns production AI platforms end-to-end — from architecture and evaluation to deployment, observability, and continuous improvement — in regulated financial environments. I ship reliable, auditable, low-latency LLM and RAG systems used across 7+ business teams and 200+ internal users, combining software engineering, MLOps, and GenAI to turn mission-critical banking workflows into measurable gains in cost, speed, and risk reduction.</w:t>
      </w:r>
    </w:p>
    <w:p>
      <w:pPr>
        <w:spacing w:before="200" w:after="40"/>
      </w:pPr>
      <w:r>
        <w:rPr>
          <w:b/>
          <w:color w:val="1F3A5F"/>
          <w:sz w:val="22"/>
        </w:rPr>
        <w:t>PROFESSIONAL EXPERIENCE</w:t>
      </w:r>
    </w:p>
    <w:p>
      <w:pPr>
        <w:spacing w:before="120" w:after="20"/>
      </w:pPr>
      <w:r>
        <w:rPr>
          <w:b/>
          <w:sz w:val="21"/>
        </w:rPr>
        <w:t>AI Engineer — Commercial Bank of Qatar, Doha</w:t>
      </w:r>
      <w:r>
        <w:tab/>
      </w:r>
      <w:r>
        <w:rPr>
          <w:i/>
          <w:sz w:val="19"/>
        </w:rPr>
        <w:t>Jan 2024 – Present</w:t>
      </w:r>
    </w:p>
    <w:p>
      <w:pPr>
        <w:pStyle w:val="ListBullet"/>
        <w:spacing w:after="60"/>
      </w:pPr>
      <w:r>
        <w:t>Architected and owned production LLM and RAG platforms for document intelligence, workflow automation, and conversational AI, deployed across 7+ business teams and 200+ internal users under banking compliance and data-governance controls.</w:t>
      </w:r>
    </w:p>
    <w:p>
      <w:pPr>
        <w:pStyle w:val="ListBullet"/>
        <w:spacing w:after="60"/>
      </w:pPr>
      <w:r>
        <w:t>Designed the RAG architecture — hybrid retrieval, semantic chunking, reranking, and citation grounding over 900+ compliance documents — delivering explainable, fully traceable, source-linked answers at 87% retrieval accuracy.</w:t>
      </w:r>
    </w:p>
    <w:p>
      <w:pPr>
        <w:pStyle w:val="ListBullet"/>
        <w:spacing w:after="60"/>
      </w:pPr>
      <w:r>
        <w:t>Established evaluation and release governance for production AI — automated quality benchmarks (retrieval quality, grounding, hallucination mitigation), human review loops, and auditability requirements enforced before every deployment.</w:t>
      </w:r>
    </w:p>
    <w:p>
      <w:pPr>
        <w:pStyle w:val="ListBullet"/>
        <w:spacing w:after="60"/>
      </w:pPr>
      <w:r>
        <w:t>Productionized agentic workflows (LLM reasoning, tool calling, OCR, structured outputs) powering inquiry automation — 500+ requests/week, 70% manual-load reduction, COO Problem Solver Award — and credit-risk &amp; financial-analysis report generation.</w:t>
      </w:r>
    </w:p>
    <w:p>
      <w:pPr>
        <w:pStyle w:val="ListBullet"/>
        <w:spacing w:after="60"/>
      </w:pPr>
      <w:r>
        <w:t>Built and owned the FastAPI / REST services and model-serving layer (Docker, Kubernetes, MLflow) with production monitoring and observability, cutting inference latency ~40% and ensuring reliability.</w:t>
      </w:r>
    </w:p>
    <w:p>
      <w:pPr>
        <w:pStyle w:val="ListBullet"/>
        <w:spacing w:after="60"/>
      </w:pPr>
      <w:r>
        <w:t>Designed and deployed a real-time fraud-detection service integrating engineered risk features, model evaluation, and monitoring, achieving ROC-AUC 0.93 while strengthening transaction-risk controls.</w:t>
      </w:r>
    </w:p>
    <w:p>
      <w:pPr>
        <w:pStyle w:val="ListBullet"/>
        <w:spacing w:after="60"/>
      </w:pPr>
      <w:r>
        <w:t>Delivered an on-prem Arabic↔English document-translation platform that preserves layout and keeps sensitive data fully in-house, eliminating ~$120K/yr in third-party translation spend.</w:t>
      </w:r>
    </w:p>
    <w:p>
      <w:pPr>
        <w:spacing w:before="120" w:after="20"/>
      </w:pPr>
      <w:r>
        <w:rPr>
          <w:b/>
          <w:sz w:val="21"/>
        </w:rPr>
        <w:t>Software Engineer — MeeApps, İstanbul</w:t>
      </w:r>
      <w:r>
        <w:tab/>
      </w:r>
      <w:r>
        <w:rPr>
          <w:i/>
          <w:sz w:val="19"/>
        </w:rPr>
        <w:t>Feb 2023 – Jan 2024</w:t>
      </w:r>
    </w:p>
    <w:p>
      <w:pPr>
        <w:pStyle w:val="ListBullet"/>
        <w:spacing w:after="60"/>
      </w:pPr>
      <w:r>
        <w:t>Architected and delivered a high-frequency trading platform for 23 brokerage firms managing $10M+ in portfolios, achieving microsecond-level execution by optimizing ITCH, OUCH, and TCP protocols for ultra-low latency.</w:t>
      </w:r>
    </w:p>
    <w:p>
      <w:pPr>
        <w:pStyle w:val="ListBullet"/>
        <w:spacing w:after="60"/>
      </w:pPr>
      <w:r>
        <w:t>Built and owned the full production stack — React/C#/C++ frontend, backend services, and co-located live market-data feeds — under strict real-time reliability constraints.</w:t>
      </w:r>
    </w:p>
    <w:p>
      <w:pPr>
        <w:pStyle w:val="ListBullet"/>
        <w:spacing w:after="60"/>
      </w:pPr>
      <w:r>
        <w:t>Owned end-to-end system performance and reliability, sustaining 99.9% uptime under live trading load.</w:t>
      </w:r>
    </w:p>
    <w:p>
      <w:pPr>
        <w:spacing w:before="120" w:after="20"/>
      </w:pPr>
      <w:r>
        <w:rPr>
          <w:b/>
          <w:sz w:val="21"/>
        </w:rPr>
        <w:t>Machine Learning Engineer — Schneider Electric, İstanbul</w:t>
      </w:r>
      <w:r>
        <w:tab/>
      </w:r>
      <w:r>
        <w:rPr>
          <w:i/>
          <w:sz w:val="19"/>
        </w:rPr>
        <w:t>Jul 2022 – Dec 2022</w:t>
      </w:r>
    </w:p>
    <w:p>
      <w:pPr>
        <w:pStyle w:val="ListBullet"/>
        <w:spacing w:after="60"/>
      </w:pPr>
      <w:r>
        <w:t>Built and deployed demand-forecasting and stock-out-risk models that reduced inventory gaps 12–15% during COVID supply shocks, directly improving fulfillment reliability.</w:t>
      </w:r>
    </w:p>
    <w:p>
      <w:pPr>
        <w:pStyle w:val="ListBullet"/>
        <w:spacing w:after="60"/>
      </w:pPr>
      <w:r>
        <w:t>Engineered features from sales, supply-chain, and distributor data and built reproducible model pipelines with rigorous evaluation (cross-validation, holdout testing) for scalable deployment.</w:t>
      </w:r>
    </w:p>
    <w:p>
      <w:pPr>
        <w:pStyle w:val="ListBullet"/>
        <w:spacing w:after="60"/>
      </w:pPr>
      <w:r>
        <w:t>Partnered with logistics stakeholders to define success metrics and operationalize forecasts into fulfillment planning.</w:t>
      </w:r>
    </w:p>
    <w:p>
      <w:pPr>
        <w:spacing w:before="200" w:after="4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b/>
        </w:rPr>
        <w:t>BASc, Electronics Engineering — Sabancı University, İstanbul</w:t>
      </w:r>
      <w:r>
        <w:rPr>
          <w:i/>
        </w:rPr>
        <w:t xml:space="preserve">  —  2018 – 2023</w:t>
      </w:r>
    </w:p>
    <w:p>
      <w:pPr>
        <w:spacing w:after="40"/>
      </w:pPr>
      <w:r>
        <w:rPr>
          <w:b/>
        </w:rPr>
        <w:t>Exchange Semester, Electrical &amp; Electronics Engineering — Universitat Politècnica de València (UPV), Spain</w:t>
      </w:r>
      <w:r>
        <w:rPr>
          <w:i/>
        </w:rPr>
        <w:t xml:space="preserve">  —  2022</w:t>
      </w:r>
    </w:p>
    <w:p>
      <w:pPr>
        <w:spacing w:before="200" w:after="40"/>
      </w:pPr>
      <w:r>
        <w:rPr>
          <w:b/>
          <w:color w:val="1F3A5F"/>
          <w:sz w:val="22"/>
        </w:rPr>
        <w:t>TECHNICAL SKILLS</w:t>
      </w:r>
    </w:p>
    <w:p>
      <w:pPr>
        <w:spacing w:after="40"/>
      </w:pPr>
      <w:r>
        <w:rPr>
          <w:b/>
        </w:rPr>
        <w:t xml:space="preserve">AI Systems / GenAI: </w:t>
      </w:r>
      <w:r>
        <w:t>LLM systems, RAG (hybrid retrieval, reranking, citation grounding), agentic workflows, tool / function calling, prompt &amp; context engineering, structured outputs</w:t>
      </w:r>
    </w:p>
    <w:p>
      <w:pPr>
        <w:spacing w:after="40"/>
      </w:pPr>
      <w:r>
        <w:rPr>
          <w:b/>
        </w:rPr>
        <w:t xml:space="preserve">AI Engineering / LLMOps: </w:t>
      </w:r>
      <w:r>
        <w:t>Automated evaluation (retrieval quality, grounding, hallucination mitigation), human review loops, observability &amp; logging, latency optimization, reliability engineering</w:t>
      </w:r>
    </w:p>
    <w:p>
      <w:pPr>
        <w:spacing w:after="40"/>
      </w:pPr>
      <w:r>
        <w:rPr>
          <w:b/>
        </w:rPr>
        <w:t xml:space="preserve">Regulated AI: </w:t>
      </w:r>
      <w:r>
        <w:t>Auditability, traceability, explainability, compliance &amp; release governance</w:t>
      </w:r>
    </w:p>
    <w:p>
      <w:pPr>
        <w:spacing w:after="40"/>
      </w:pPr>
      <w:r>
        <w:rPr>
          <w:b/>
        </w:rPr>
        <w:t xml:space="preserve">Production / Platform: </w:t>
      </w:r>
      <w:r>
        <w:t>FastAPI / REST APIs, backend &amp; service architecture, model serving, Docker, Kubernetes, MLflow, monitoring</w:t>
      </w:r>
    </w:p>
    <w:p>
      <w:pPr>
        <w:spacing w:after="40"/>
      </w:pPr>
      <w:r>
        <w:rPr>
          <w:b/>
        </w:rPr>
        <w:t xml:space="preserve">ML Foundations: </w:t>
      </w:r>
      <w:r>
        <w:t>Supervised &amp; unsupervised learning, feature engineering, time-series forecasting, A/B testing</w:t>
      </w:r>
    </w:p>
    <w:p>
      <w:pPr>
        <w:spacing w:after="40"/>
      </w:pPr>
      <w:r>
        <w:rPr>
          <w:b/>
        </w:rPr>
        <w:t xml:space="preserve">Cloud &amp; Languages: </w:t>
      </w:r>
      <w:r>
        <w:t>Azure, AWS, SQL · Python; full-stack (React, C#, C++)</w:t>
      </w:r>
    </w:p>
    <w:p>
      <w:pPr>
        <w:spacing w:before="200" w:after="40"/>
      </w:pPr>
      <w:r>
        <w:rPr>
          <w:b/>
          <w:color w:val="1F3A5F"/>
          <w:sz w:val="22"/>
        </w:rPr>
        <w:t>SELECTED AI SYSTEMS</w:t>
      </w:r>
    </w:p>
    <w:p>
      <w:pPr>
        <w:pStyle w:val="ListBullet"/>
        <w:spacing w:after="40"/>
      </w:pPr>
      <w:r>
        <w:rPr>
          <w:b/>
        </w:rPr>
        <w:t xml:space="preserve">Enterprise RAG Platform — </w:t>
      </w:r>
      <w:r>
        <w:t>900+ compliance documents; auditable, source-linked answers at 87% accuracy</w:t>
      </w:r>
    </w:p>
    <w:p>
      <w:pPr>
        <w:pStyle w:val="ListBullet"/>
        <w:spacing w:after="40"/>
      </w:pPr>
      <w:r>
        <w:rPr>
          <w:b/>
        </w:rPr>
        <w:t xml:space="preserve">AI Email / Inquiry Assistant — </w:t>
      </w:r>
      <w:r>
        <w:t>500+ requests/week automated; 70% manual-load reduction</w:t>
      </w:r>
    </w:p>
    <w:p>
      <w:pPr>
        <w:pStyle w:val="ListBullet"/>
        <w:spacing w:after="40"/>
      </w:pPr>
      <w:r>
        <w:rPr>
          <w:b/>
        </w:rPr>
        <w:t xml:space="preserve">Credit Risk Report Generation Platform — </w:t>
      </w:r>
      <w:r>
        <w:t>agentic generation of analyst-ready credit-risk reports</w:t>
      </w:r>
    </w:p>
    <w:p>
      <w:pPr>
        <w:pStyle w:val="ListBullet"/>
        <w:spacing w:after="40"/>
      </w:pPr>
      <w:r>
        <w:rPr>
          <w:b/>
        </w:rPr>
        <w:t xml:space="preserve">Financial Analysis Agent Workflows — </w:t>
      </w:r>
      <w:r>
        <w:t>multi-step LLM reasoning + tool calling over financial data</w:t>
      </w:r>
    </w:p>
    <w:p>
      <w:pPr>
        <w:pStyle w:val="ListBullet"/>
        <w:spacing w:after="40"/>
      </w:pPr>
      <w:r>
        <w:rPr>
          <w:b/>
        </w:rPr>
        <w:t xml:space="preserve">OCR &amp; Document Intelligence Platform — </w:t>
      </w:r>
      <w:r>
        <w:t>7 extraction pipelines for Arabic/English ID &amp; financial docs</w:t>
      </w:r>
    </w:p>
    <w:p>
      <w:pPr>
        <w:pStyle w:val="ListBullet"/>
        <w:spacing w:after="40"/>
      </w:pPr>
      <w:r>
        <w:rPr>
          <w:b/>
        </w:rPr>
        <w:t xml:space="preserve">Arabic↔English Translation Platform — </w:t>
      </w:r>
      <w:r>
        <w:t>on-prem, layout-preserving; ~$120K/yr third-party spend eliminated</w:t>
      </w:r>
    </w:p>
    <w:p>
      <w:pPr>
        <w:spacing w:before="200" w:after="40"/>
      </w:pPr>
      <w:r>
        <w:rPr>
          <w:b/>
          <w:color w:val="1F3A5F"/>
          <w:sz w:val="22"/>
        </w:rPr>
        <w:t>CERTIFICATIONS &amp; COURSES</w:t>
      </w:r>
    </w:p>
    <w:p>
      <w:r>
        <w:t>Operationalizing LLMs on Azure (Duke) · Generative AI Applications with RAG &amp; LangChain (IBM) · AI Agents (IBM) · Generative AI Techniques &amp; Applications (Duke) · Machine Learning Specialization (Stanford) · TensorFlow in AI/ML/DL (DeepLearning.AI) · Deep Learning for Sequences &amp; Time Series (DeepLearning.AI) · Visa Data Science Bootcamp</w:t>
      </w:r>
    </w:p>
    <w:p>
      <w:pPr>
        <w:spacing w:before="200" w:after="40"/>
      </w:pPr>
      <w:r>
        <w:rPr>
          <w:b/>
          <w:color w:val="1F3A5F"/>
          <w:sz w:val="22"/>
        </w:rPr>
        <w:t>ADDITIONAL</w:t>
      </w:r>
    </w:p>
    <w:p>
      <w:r>
        <w:t>Languages: English  ·  Links: LinkedIn, GitHub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