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EA65E" w14:textId="372D0E7E" w:rsidR="001718B1" w:rsidRPr="00E953B9" w:rsidRDefault="00E953B9">
      <w:pPr>
        <w:rPr>
          <w:b/>
          <w:bCs/>
          <w:sz w:val="22"/>
          <w:szCs w:val="20"/>
        </w:rPr>
      </w:pPr>
      <w:r w:rsidRPr="00E953B9">
        <w:rPr>
          <w:b/>
          <w:bCs/>
          <w:sz w:val="22"/>
          <w:szCs w:val="20"/>
        </w:rPr>
        <w:t>PROJECT TITLE:</w:t>
      </w:r>
    </w:p>
    <w:p w14:paraId="50DC8574" w14:textId="7C25EC05" w:rsidR="00E953B9" w:rsidRDefault="00A6790D">
      <w:pPr>
        <w:rPr>
          <w:sz w:val="22"/>
          <w:szCs w:val="20"/>
        </w:rPr>
      </w:pPr>
      <w:r>
        <w:rPr>
          <w:sz w:val="22"/>
          <w:szCs w:val="20"/>
        </w:rPr>
        <w:t xml:space="preserve">Covid-19 Vaccines Analysis </w:t>
      </w:r>
    </w:p>
    <w:p w14:paraId="78482AB9" w14:textId="18A68EA9" w:rsidR="00E953B9" w:rsidRDefault="00E953B9">
      <w:pPr>
        <w:rPr>
          <w:b/>
          <w:bCs/>
          <w:sz w:val="22"/>
          <w:szCs w:val="20"/>
        </w:rPr>
      </w:pPr>
      <w:r w:rsidRPr="00E953B9">
        <w:rPr>
          <w:b/>
          <w:bCs/>
          <w:sz w:val="22"/>
          <w:szCs w:val="20"/>
        </w:rPr>
        <w:t>PROBLEM DEFINITION:</w:t>
      </w:r>
    </w:p>
    <w:p w14:paraId="07F02DBC" w14:textId="50461E6F" w:rsidR="00A6790D" w:rsidRPr="00A6790D" w:rsidRDefault="00A6790D">
      <w:pPr>
        <w:rPr>
          <w:rFonts w:ascii="Cambria" w:hAnsi="Cambria"/>
          <w:color w:val="212121"/>
          <w:sz w:val="22"/>
          <w:szCs w:val="30"/>
          <w:shd w:val="clear" w:color="auto" w:fill="FFFFFF"/>
        </w:rPr>
      </w:pPr>
      <w:r w:rsidRPr="00A6790D">
        <w:rPr>
          <w:rFonts w:ascii="Cambria" w:hAnsi="Cambria"/>
          <w:color w:val="212121"/>
          <w:sz w:val="22"/>
          <w:szCs w:val="30"/>
          <w:shd w:val="clear" w:color="auto" w:fill="FFFFFF"/>
        </w:rPr>
        <w:t>Nearly every aspect of society in the world has been severely affected by COVID-19. Rapid growth in disease cases has led to extensive planning needs.  COVID-19 vaccines have been a new hope during the uncertainties of this pandemic. But this is confused with numerous challenges</w:t>
      </w:r>
    </w:p>
    <w:p w14:paraId="2D0A6097" w14:textId="151607EE" w:rsidR="00A6790D" w:rsidRDefault="00A6790D">
      <w:pPr>
        <w:rPr>
          <w:rFonts w:cs="Times New Roman"/>
          <w:b/>
          <w:color w:val="212121"/>
          <w:sz w:val="28"/>
          <w:szCs w:val="30"/>
          <w:shd w:val="clear" w:color="auto" w:fill="FFFFFF"/>
        </w:rPr>
      </w:pPr>
      <w:r w:rsidRPr="00A6790D">
        <w:rPr>
          <w:rFonts w:cs="Times New Roman"/>
          <w:b/>
          <w:color w:val="212121"/>
          <w:sz w:val="28"/>
          <w:szCs w:val="30"/>
          <w:shd w:val="clear" w:color="auto" w:fill="FFFFFF"/>
        </w:rPr>
        <w:t>Abstract</w:t>
      </w:r>
      <w:r>
        <w:rPr>
          <w:rFonts w:cs="Times New Roman"/>
          <w:b/>
          <w:color w:val="212121"/>
          <w:sz w:val="28"/>
          <w:szCs w:val="30"/>
          <w:shd w:val="clear" w:color="auto" w:fill="FFFFFF"/>
        </w:rPr>
        <w:t>:</w:t>
      </w:r>
    </w:p>
    <w:p w14:paraId="42D575D0" w14:textId="18A53604" w:rsidR="00A6790D" w:rsidRPr="00A6790D" w:rsidRDefault="00A6790D">
      <w:pPr>
        <w:rPr>
          <w:rFonts w:cs="Times New Roman"/>
          <w:b/>
          <w:bCs/>
          <w:sz w:val="14"/>
          <w:szCs w:val="20"/>
        </w:rPr>
      </w:pPr>
      <w:r w:rsidRPr="00A6790D">
        <w:rPr>
          <w:rFonts w:ascii="Cambria" w:hAnsi="Cambria"/>
          <w:color w:val="212121"/>
          <w:sz w:val="22"/>
          <w:szCs w:val="30"/>
          <w:shd w:val="clear" w:color="auto" w:fill="FFFFFF"/>
        </w:rPr>
        <w:t>COVID-19 has severely affected almost every aspect of society worldwide. During the uncertainties of this pandemic, COVID-19 vaccines were a new hope. In particular, Covid's monitoring of the information, big data analysis played a major role. What started as the basic use of big data analysis is the core component of worldly initiatives Therefore, based on enlightening experiences of big data application for fighting the pandemic, this research focuses on the ethical objectives to be promoted in vaccine delivery, assessing the potential effect of big data analytics on reaching these goals by enabling people to receive a digital passport or certificate.</w:t>
      </w:r>
    </w:p>
    <w:p w14:paraId="68C29190" w14:textId="7BA3B6C3" w:rsidR="00E953B9" w:rsidRPr="006A5EAD" w:rsidRDefault="006A5EAD" w:rsidP="006A5EAD">
      <w:pPr>
        <w:rPr>
          <w:b/>
          <w:bCs/>
          <w:sz w:val="22"/>
          <w:szCs w:val="20"/>
        </w:rPr>
      </w:pPr>
      <w:r w:rsidRPr="006A5EAD">
        <w:rPr>
          <w:b/>
          <w:bCs/>
          <w:sz w:val="22"/>
          <w:szCs w:val="20"/>
        </w:rPr>
        <w:t>LITERATURE SURVEY:</w:t>
      </w:r>
    </w:p>
    <w:tbl>
      <w:tblPr>
        <w:tblStyle w:val="TableGrid"/>
        <w:tblW w:w="0" w:type="auto"/>
        <w:tblInd w:w="720" w:type="dxa"/>
        <w:tblLayout w:type="fixed"/>
        <w:tblLook w:val="04A0" w:firstRow="1" w:lastRow="0" w:firstColumn="1" w:lastColumn="0" w:noHBand="0" w:noVBand="1"/>
      </w:tblPr>
      <w:tblGrid>
        <w:gridCol w:w="2286"/>
        <w:gridCol w:w="2952"/>
        <w:gridCol w:w="3284"/>
      </w:tblGrid>
      <w:tr w:rsidR="00A85296" w:rsidRPr="008C2E7A" w14:paraId="68A07279" w14:textId="77777777" w:rsidTr="00A85296">
        <w:tc>
          <w:tcPr>
            <w:tcW w:w="2286"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7B616121" w14:textId="03575FCD" w:rsidR="00E953B9" w:rsidRPr="008C2E7A" w:rsidRDefault="00E953B9" w:rsidP="00E953B9">
            <w:pPr>
              <w:jc w:val="center"/>
              <w:rPr>
                <w:sz w:val="20"/>
                <w:szCs w:val="20"/>
              </w:rPr>
            </w:pPr>
            <w:r w:rsidRPr="008C2E7A">
              <w:rPr>
                <w:sz w:val="20"/>
                <w:szCs w:val="20"/>
              </w:rPr>
              <w:t>Title</w:t>
            </w:r>
          </w:p>
        </w:tc>
        <w:tc>
          <w:tcPr>
            <w:tcW w:w="2952" w:type="dxa"/>
            <w:tcBorders>
              <w:top w:val="thinThickSmallGap" w:sz="24" w:space="0" w:color="4472C4"/>
              <w:left w:val="thinThickSmallGap" w:sz="24" w:space="0" w:color="4472C4"/>
              <w:bottom w:val="single" w:sz="4" w:space="0" w:color="auto"/>
              <w:right w:val="thinThickSmallGap" w:sz="24" w:space="0" w:color="4472C4"/>
            </w:tcBorders>
            <w:shd w:val="clear" w:color="auto" w:fill="4472C4" w:themeFill="accent1"/>
          </w:tcPr>
          <w:p w14:paraId="61D8187C" w14:textId="3FE01B46" w:rsidR="00E953B9" w:rsidRPr="008C2E7A" w:rsidRDefault="00E953B9" w:rsidP="00A85296">
            <w:pPr>
              <w:jc w:val="center"/>
              <w:rPr>
                <w:sz w:val="20"/>
                <w:szCs w:val="20"/>
              </w:rPr>
            </w:pPr>
            <w:r w:rsidRPr="008C2E7A">
              <w:rPr>
                <w:sz w:val="20"/>
                <w:szCs w:val="20"/>
              </w:rPr>
              <w:t>Methodology</w:t>
            </w:r>
          </w:p>
        </w:tc>
        <w:tc>
          <w:tcPr>
            <w:tcW w:w="3284"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3A3043A9" w14:textId="13831244" w:rsidR="00E953B9" w:rsidRPr="008C2E7A" w:rsidRDefault="00E953B9" w:rsidP="00A85296">
            <w:pPr>
              <w:jc w:val="center"/>
              <w:rPr>
                <w:sz w:val="20"/>
                <w:szCs w:val="20"/>
              </w:rPr>
            </w:pPr>
            <w:r w:rsidRPr="008C2E7A">
              <w:rPr>
                <w:sz w:val="20"/>
                <w:szCs w:val="20"/>
              </w:rPr>
              <w:t>Outcome</w:t>
            </w:r>
          </w:p>
        </w:tc>
      </w:tr>
      <w:tr w:rsidR="00A85296" w:rsidRPr="008C2E7A" w14:paraId="432D053B" w14:textId="77777777" w:rsidTr="00A85296">
        <w:trPr>
          <w:cantSplit/>
          <w:trHeight w:val="1872"/>
        </w:trPr>
        <w:tc>
          <w:tcPr>
            <w:tcW w:w="2286" w:type="dxa"/>
            <w:tcBorders>
              <w:top w:val="thinThickSmallGap" w:sz="24" w:space="0" w:color="4472C4"/>
              <w:right w:val="single" w:sz="4" w:space="0" w:color="auto"/>
            </w:tcBorders>
            <w:shd w:val="clear" w:color="auto" w:fill="auto"/>
          </w:tcPr>
          <w:p w14:paraId="6E54821E" w14:textId="1DF24540" w:rsidR="00E953B9" w:rsidRPr="00EF2D86" w:rsidRDefault="00A6790D" w:rsidP="00A6790D">
            <w:pPr>
              <w:shd w:val="clear" w:color="auto" w:fill="FFFFFF"/>
              <w:outlineLvl w:val="0"/>
              <w:rPr>
                <w:rFonts w:ascii="Cambria" w:eastAsia="Times New Roman" w:hAnsi="Cambria" w:cs="Arial"/>
                <w:color w:val="0D0D0D" w:themeColor="text1" w:themeTint="F2"/>
                <w:kern w:val="36"/>
                <w:sz w:val="22"/>
                <w:szCs w:val="48"/>
                <w:lang w:val="en-US"/>
                <w14:ligatures w14:val="none"/>
              </w:rPr>
            </w:pPr>
            <w:r w:rsidRPr="00EF2D86">
              <w:rPr>
                <w:rFonts w:ascii="Cambria" w:eastAsia="Times New Roman" w:hAnsi="Cambria" w:cs="Arial"/>
                <w:color w:val="0D0D0D" w:themeColor="text1" w:themeTint="F2"/>
                <w:kern w:val="36"/>
                <w:sz w:val="18"/>
                <w:szCs w:val="48"/>
                <w:lang w:val="en-US"/>
                <w14:ligatures w14:val="none"/>
              </w:rPr>
              <w:t>Mental distress, COVID19 vaccine distrust and vaccine hesitancy in South Africa: A causal mediation regression analysis</w:t>
            </w:r>
          </w:p>
        </w:tc>
        <w:tc>
          <w:tcPr>
            <w:tcW w:w="2952" w:type="dxa"/>
            <w:tcBorders>
              <w:top w:val="single" w:sz="4" w:space="0" w:color="auto"/>
              <w:left w:val="single" w:sz="4" w:space="0" w:color="auto"/>
              <w:bottom w:val="single" w:sz="4" w:space="0" w:color="auto"/>
              <w:right w:val="single" w:sz="4" w:space="0" w:color="auto"/>
            </w:tcBorders>
            <w:shd w:val="clear" w:color="auto" w:fill="auto"/>
          </w:tcPr>
          <w:p w14:paraId="36D3B649" w14:textId="77777777" w:rsidR="006901B2" w:rsidRPr="00EF2D86" w:rsidRDefault="00A85296" w:rsidP="00A85296">
            <w:pPr>
              <w:pStyle w:val="ListParagraph"/>
              <w:numPr>
                <w:ilvl w:val="0"/>
                <w:numId w:val="7"/>
              </w:numPr>
              <w:rPr>
                <w:rFonts w:ascii="Cambria" w:hAnsi="Cambria"/>
                <w:color w:val="0D0D0D" w:themeColor="text1" w:themeTint="F2"/>
                <w:sz w:val="16"/>
                <w:szCs w:val="20"/>
              </w:rPr>
            </w:pPr>
            <w:r w:rsidRPr="00EF2D86">
              <w:rPr>
                <w:rFonts w:ascii="Cambria" w:hAnsi="Cambria" w:cs="Arial"/>
                <w:color w:val="0D0D0D" w:themeColor="text1" w:themeTint="F2"/>
                <w:sz w:val="18"/>
                <w:szCs w:val="21"/>
                <w:shd w:val="clear" w:color="auto" w:fill="FFFFFF"/>
              </w:rPr>
              <w:t>COVID19 pandemic</w:t>
            </w:r>
          </w:p>
          <w:p w14:paraId="3A3A8E7E" w14:textId="77777777" w:rsidR="00A85296" w:rsidRPr="00EF2D86" w:rsidRDefault="00A85296" w:rsidP="00A85296">
            <w:pPr>
              <w:pStyle w:val="ListParagraph"/>
              <w:numPr>
                <w:ilvl w:val="0"/>
                <w:numId w:val="7"/>
              </w:numPr>
              <w:rPr>
                <w:rFonts w:ascii="Cambria" w:hAnsi="Cambria"/>
                <w:color w:val="0D0D0D" w:themeColor="text1" w:themeTint="F2"/>
                <w:sz w:val="16"/>
                <w:szCs w:val="20"/>
              </w:rPr>
            </w:pPr>
            <w:r w:rsidRPr="00EF2D86">
              <w:rPr>
                <w:rFonts w:ascii="Cambria" w:hAnsi="Cambria" w:cs="Arial"/>
                <w:color w:val="0D0D0D" w:themeColor="text1" w:themeTint="F2"/>
                <w:sz w:val="18"/>
                <w:szCs w:val="21"/>
                <w:shd w:val="clear" w:color="auto" w:fill="FFFFFF"/>
              </w:rPr>
              <w:t>a single-stranded RNA virus</w:t>
            </w:r>
          </w:p>
          <w:p w14:paraId="0292BAE5" w14:textId="26607945" w:rsidR="00A85296" w:rsidRPr="00EF2D86" w:rsidRDefault="00A85296" w:rsidP="00A85296">
            <w:pPr>
              <w:pStyle w:val="ListParagraph"/>
              <w:numPr>
                <w:ilvl w:val="0"/>
                <w:numId w:val="7"/>
              </w:numPr>
              <w:rPr>
                <w:rFonts w:ascii="Cambria" w:hAnsi="Cambria"/>
                <w:color w:val="0D0D0D" w:themeColor="text1" w:themeTint="F2"/>
                <w:sz w:val="16"/>
                <w:szCs w:val="20"/>
              </w:rPr>
            </w:pPr>
            <w:r w:rsidRPr="00EF2D86">
              <w:rPr>
                <w:rFonts w:ascii="Cambria" w:hAnsi="Cambria" w:cs="Arial"/>
                <w:color w:val="0D0D0D" w:themeColor="text1" w:themeTint="F2"/>
                <w:sz w:val="18"/>
                <w:szCs w:val="21"/>
                <w:shd w:val="clear" w:color="auto" w:fill="FFFFFF"/>
              </w:rPr>
              <w:t xml:space="preserve">Lymphocytes, monocytes, </w:t>
            </w:r>
            <w:bookmarkStart w:id="0" w:name="_GoBack"/>
            <w:bookmarkEnd w:id="0"/>
            <w:r w:rsidRPr="00EF2D86">
              <w:rPr>
                <w:rFonts w:ascii="Cambria" w:hAnsi="Cambria" w:cs="Arial"/>
                <w:color w:val="0D0D0D" w:themeColor="text1" w:themeTint="F2"/>
                <w:sz w:val="18"/>
                <w:szCs w:val="21"/>
                <w:shd w:val="clear" w:color="auto" w:fill="FFFFFF"/>
              </w:rPr>
              <w:t>macrophages,</w:t>
            </w:r>
          </w:p>
          <w:p w14:paraId="3B10A3E6" w14:textId="2DB7E32B" w:rsidR="00A85296" w:rsidRPr="00EF2D86" w:rsidRDefault="00A85296" w:rsidP="00A85296">
            <w:pPr>
              <w:pStyle w:val="ListParagraph"/>
              <w:ind w:left="1500"/>
              <w:rPr>
                <w:color w:val="0D0D0D" w:themeColor="text1" w:themeTint="F2"/>
                <w:sz w:val="20"/>
                <w:szCs w:val="20"/>
              </w:rPr>
            </w:pPr>
          </w:p>
        </w:tc>
        <w:tc>
          <w:tcPr>
            <w:tcW w:w="3284" w:type="dxa"/>
            <w:tcBorders>
              <w:top w:val="thinThickSmallGap" w:sz="24" w:space="0" w:color="4472C4"/>
              <w:left w:val="single" w:sz="4" w:space="0" w:color="auto"/>
            </w:tcBorders>
            <w:shd w:val="clear" w:color="auto" w:fill="auto"/>
          </w:tcPr>
          <w:p w14:paraId="086C70B8" w14:textId="6956BEBC" w:rsidR="00E953B9" w:rsidRPr="00EF2D86" w:rsidRDefault="00A85296" w:rsidP="00ED1166">
            <w:pPr>
              <w:jc w:val="both"/>
              <w:rPr>
                <w:color w:val="0D0D0D" w:themeColor="text1" w:themeTint="F2"/>
                <w:sz w:val="20"/>
                <w:szCs w:val="20"/>
              </w:rPr>
            </w:pPr>
            <w:r w:rsidRPr="00EF2D86">
              <w:rPr>
                <w:rFonts w:ascii="Cambria" w:hAnsi="Cambria"/>
                <w:color w:val="0D0D0D" w:themeColor="text1" w:themeTint="F2"/>
                <w:sz w:val="18"/>
                <w:szCs w:val="30"/>
                <w:shd w:val="clear" w:color="auto" w:fill="FFFFFF"/>
              </w:rPr>
              <w:t>In the face of these major challenges, the following immediate and long-term measures for the identification and mitigation of risks that could compromise access to safe and effective COVID-19 population-based vaccines should be considered by the Member States</w:t>
            </w:r>
            <w:r w:rsidRPr="00EF2D86">
              <w:rPr>
                <w:rFonts w:ascii="Cambria" w:hAnsi="Cambria"/>
                <w:color w:val="0D0D0D" w:themeColor="text1" w:themeTint="F2"/>
                <w:szCs w:val="30"/>
                <w:shd w:val="clear" w:color="auto" w:fill="FFFFFF"/>
              </w:rPr>
              <w:t>.</w:t>
            </w:r>
          </w:p>
        </w:tc>
      </w:tr>
      <w:tr w:rsidR="00A85296" w:rsidRPr="008C2E7A" w14:paraId="596BD012" w14:textId="77777777" w:rsidTr="00A85296">
        <w:tc>
          <w:tcPr>
            <w:tcW w:w="2286" w:type="dxa"/>
            <w:shd w:val="clear" w:color="auto" w:fill="auto"/>
          </w:tcPr>
          <w:p w14:paraId="1BE961CD" w14:textId="77777777" w:rsidR="00A85296" w:rsidRPr="00EF2D86" w:rsidRDefault="00A85296" w:rsidP="00A85296">
            <w:pPr>
              <w:pStyle w:val="Heading1"/>
              <w:shd w:val="clear" w:color="auto" w:fill="FFFFFF"/>
              <w:spacing w:before="0" w:beforeAutospacing="0" w:after="0" w:afterAutospacing="0"/>
              <w:outlineLvl w:val="0"/>
              <w:rPr>
                <w:rFonts w:ascii="Cambria" w:hAnsi="Cambria" w:cs="Arial"/>
                <w:b w:val="0"/>
                <w:bCs w:val="0"/>
                <w:color w:val="0D0D0D" w:themeColor="text1" w:themeTint="F2"/>
                <w:sz w:val="52"/>
              </w:rPr>
            </w:pPr>
            <w:r w:rsidRPr="00EF2D86">
              <w:rPr>
                <w:rFonts w:ascii="Cambria" w:hAnsi="Cambria" w:cs="Arial"/>
                <w:b w:val="0"/>
                <w:bCs w:val="0"/>
                <w:color w:val="0D0D0D" w:themeColor="text1" w:themeTint="F2"/>
                <w:sz w:val="18"/>
              </w:rPr>
              <w:t>Evaluation of CBC in Different Vaccines Types of COVID-19</w:t>
            </w:r>
          </w:p>
          <w:p w14:paraId="312E7FBA" w14:textId="6B81FF7B" w:rsidR="00E953B9" w:rsidRPr="00EF2D86" w:rsidRDefault="00E953B9" w:rsidP="00A6790D">
            <w:pPr>
              <w:rPr>
                <w:color w:val="0D0D0D" w:themeColor="text1" w:themeTint="F2"/>
                <w:sz w:val="20"/>
                <w:szCs w:val="20"/>
              </w:rPr>
            </w:pPr>
          </w:p>
        </w:tc>
        <w:tc>
          <w:tcPr>
            <w:tcW w:w="2952" w:type="dxa"/>
            <w:tcBorders>
              <w:top w:val="single" w:sz="4" w:space="0" w:color="auto"/>
            </w:tcBorders>
            <w:shd w:val="clear" w:color="auto" w:fill="auto"/>
          </w:tcPr>
          <w:p w14:paraId="3CAFD459" w14:textId="77777777" w:rsidR="006901B2" w:rsidRPr="00EF2D86" w:rsidRDefault="00ED1166" w:rsidP="00ED1166">
            <w:pPr>
              <w:pStyle w:val="ListParagraph"/>
              <w:numPr>
                <w:ilvl w:val="0"/>
                <w:numId w:val="9"/>
              </w:numPr>
              <w:rPr>
                <w:rFonts w:ascii="Cambria" w:hAnsi="Cambria"/>
                <w:color w:val="0D0D0D" w:themeColor="text1" w:themeTint="F2"/>
                <w:sz w:val="18"/>
                <w:szCs w:val="18"/>
              </w:rPr>
            </w:pPr>
            <w:r w:rsidRPr="00EF2D86">
              <w:rPr>
                <w:rFonts w:ascii="Cambria" w:hAnsi="Cambria" w:cs="Arial"/>
                <w:color w:val="0D0D0D" w:themeColor="text1" w:themeTint="F2"/>
                <w:sz w:val="18"/>
                <w:szCs w:val="18"/>
                <w:shd w:val="clear" w:color="auto" w:fill="FFFFFF"/>
              </w:rPr>
              <w:t>vaccines induce higher granulocyte</w:t>
            </w:r>
          </w:p>
          <w:p w14:paraId="5FE6CD7F" w14:textId="4072257C" w:rsidR="00ED1166" w:rsidRPr="00EF2D86" w:rsidRDefault="00ED1166" w:rsidP="00ED1166">
            <w:pPr>
              <w:pStyle w:val="ListParagraph"/>
              <w:numPr>
                <w:ilvl w:val="0"/>
                <w:numId w:val="9"/>
              </w:numPr>
              <w:rPr>
                <w:rFonts w:ascii="Cambria" w:hAnsi="Cambria"/>
                <w:color w:val="0D0D0D" w:themeColor="text1" w:themeTint="F2"/>
                <w:sz w:val="18"/>
                <w:szCs w:val="18"/>
              </w:rPr>
            </w:pPr>
            <w:r w:rsidRPr="00EF2D86">
              <w:rPr>
                <w:rFonts w:ascii="Cambria" w:hAnsi="Cambria" w:cs="Arial"/>
                <w:color w:val="0D0D0D" w:themeColor="text1" w:themeTint="F2"/>
                <w:sz w:val="18"/>
                <w:szCs w:val="18"/>
                <w:shd w:val="clear" w:color="auto" w:fill="FFFFFF"/>
              </w:rPr>
              <w:t>analytics of Data Science</w:t>
            </w:r>
          </w:p>
        </w:tc>
        <w:tc>
          <w:tcPr>
            <w:tcW w:w="3284" w:type="dxa"/>
            <w:shd w:val="clear" w:color="auto" w:fill="auto"/>
          </w:tcPr>
          <w:p w14:paraId="3466738E" w14:textId="12087B76" w:rsidR="00E953B9" w:rsidRPr="00EF2D86" w:rsidRDefault="00ED1166" w:rsidP="00ED1166">
            <w:pPr>
              <w:jc w:val="both"/>
              <w:rPr>
                <w:rFonts w:ascii="Cambria" w:hAnsi="Cambria"/>
                <w:color w:val="0D0D0D" w:themeColor="text1" w:themeTint="F2"/>
                <w:sz w:val="18"/>
                <w:szCs w:val="18"/>
              </w:rPr>
            </w:pPr>
            <w:r w:rsidRPr="00EF2D86">
              <w:rPr>
                <w:rFonts w:ascii="Arial" w:hAnsi="Arial" w:cs="Arial"/>
                <w:color w:val="0D0D0D" w:themeColor="text1" w:themeTint="F2"/>
                <w:sz w:val="21"/>
                <w:szCs w:val="21"/>
                <w:shd w:val="clear" w:color="auto" w:fill="FFFFFF"/>
              </w:rPr>
              <w:t> </w:t>
            </w:r>
            <w:r w:rsidRPr="00EF2D86">
              <w:rPr>
                <w:rFonts w:ascii="Cambria" w:hAnsi="Cambria" w:cs="Arial"/>
                <w:color w:val="0D0D0D" w:themeColor="text1" w:themeTint="F2"/>
                <w:sz w:val="18"/>
                <w:szCs w:val="18"/>
                <w:shd w:val="clear" w:color="auto" w:fill="FFFFFF"/>
              </w:rPr>
              <w:t>The study also reveals that males and females exhibit varied immune responses to different COVID-19 vaccines and natural immunization, and these variations may be attributed to vaccine composition, mechanisms of action, immune response variability, and timing of the research.</w:t>
            </w:r>
          </w:p>
        </w:tc>
      </w:tr>
      <w:tr w:rsidR="00A85296" w:rsidRPr="008C2E7A" w14:paraId="1DDF7FC4" w14:textId="77777777" w:rsidTr="00A85296">
        <w:tc>
          <w:tcPr>
            <w:tcW w:w="2286" w:type="dxa"/>
            <w:shd w:val="clear" w:color="auto" w:fill="auto"/>
          </w:tcPr>
          <w:p w14:paraId="15B64906" w14:textId="77777777" w:rsidR="00ED1166" w:rsidRPr="00EF2D86" w:rsidRDefault="00ED1166" w:rsidP="00ED1166">
            <w:pPr>
              <w:pStyle w:val="Heading1"/>
              <w:shd w:val="clear" w:color="auto" w:fill="FFFFFF"/>
              <w:spacing w:before="0" w:beforeAutospacing="0" w:after="0" w:afterAutospacing="0"/>
              <w:outlineLvl w:val="0"/>
              <w:rPr>
                <w:rFonts w:ascii="Cambria" w:hAnsi="Cambria" w:cs="Arial"/>
                <w:b w:val="0"/>
                <w:bCs w:val="0"/>
                <w:color w:val="0D0D0D" w:themeColor="text1" w:themeTint="F2"/>
                <w:sz w:val="18"/>
                <w:szCs w:val="18"/>
              </w:rPr>
            </w:pPr>
            <w:r w:rsidRPr="00EF2D86">
              <w:rPr>
                <w:rFonts w:ascii="Cambria" w:hAnsi="Cambria" w:cs="Arial"/>
                <w:b w:val="0"/>
                <w:bCs w:val="0"/>
                <w:color w:val="0D0D0D" w:themeColor="text1" w:themeTint="F2"/>
                <w:sz w:val="18"/>
                <w:szCs w:val="18"/>
              </w:rPr>
              <w:t>Efficacy of COVID vaccinations in patients with chronic lymphocytic leukemia.</w:t>
            </w:r>
          </w:p>
          <w:p w14:paraId="181A394E" w14:textId="25806C2C" w:rsidR="00E953B9" w:rsidRPr="00EF2D86" w:rsidRDefault="00E953B9" w:rsidP="00E953B9">
            <w:pPr>
              <w:rPr>
                <w:color w:val="0D0D0D" w:themeColor="text1" w:themeTint="F2"/>
                <w:sz w:val="20"/>
                <w:szCs w:val="20"/>
              </w:rPr>
            </w:pPr>
          </w:p>
        </w:tc>
        <w:tc>
          <w:tcPr>
            <w:tcW w:w="2952" w:type="dxa"/>
            <w:shd w:val="clear" w:color="auto" w:fill="auto"/>
          </w:tcPr>
          <w:p w14:paraId="5B30C832" w14:textId="77777777" w:rsidR="006901B2" w:rsidRPr="00EF2D86" w:rsidRDefault="00ED1166" w:rsidP="00ED1166">
            <w:pPr>
              <w:pStyle w:val="ListParagraph"/>
              <w:numPr>
                <w:ilvl w:val="0"/>
                <w:numId w:val="10"/>
              </w:numPr>
              <w:rPr>
                <w:rFonts w:ascii="Cambria" w:hAnsi="Cambria"/>
                <w:color w:val="0D0D0D" w:themeColor="text1" w:themeTint="F2"/>
                <w:sz w:val="18"/>
                <w:szCs w:val="18"/>
              </w:rPr>
            </w:pPr>
            <w:r w:rsidRPr="00EF2D86">
              <w:rPr>
                <w:rFonts w:ascii="Cambria" w:hAnsi="Cambria" w:cs="Arial"/>
                <w:color w:val="0D0D0D" w:themeColor="text1" w:themeTint="F2"/>
                <w:sz w:val="18"/>
                <w:szCs w:val="18"/>
                <w:shd w:val="clear" w:color="auto" w:fill="FFFFFF"/>
              </w:rPr>
              <w:t>Chronic lymphocytic leukemia </w:t>
            </w:r>
          </w:p>
          <w:p w14:paraId="411514FE" w14:textId="40207922" w:rsidR="00ED1166" w:rsidRPr="00EF2D86" w:rsidRDefault="00ED1166" w:rsidP="00ED1166">
            <w:pPr>
              <w:pStyle w:val="ListParagraph"/>
              <w:numPr>
                <w:ilvl w:val="0"/>
                <w:numId w:val="10"/>
              </w:numPr>
              <w:rPr>
                <w:rFonts w:ascii="Cambria" w:hAnsi="Cambria"/>
                <w:color w:val="0D0D0D" w:themeColor="text1" w:themeTint="F2"/>
                <w:sz w:val="18"/>
                <w:szCs w:val="18"/>
              </w:rPr>
            </w:pPr>
            <w:r w:rsidRPr="00EF2D86">
              <w:rPr>
                <w:rFonts w:ascii="Cambria" w:hAnsi="Cambria" w:cs="Arial"/>
                <w:color w:val="0D0D0D" w:themeColor="text1" w:themeTint="F2"/>
                <w:sz w:val="18"/>
                <w:szCs w:val="18"/>
                <w:shd w:val="clear" w:color="auto" w:fill="FFFFFF"/>
              </w:rPr>
              <w:t> Cilgavimab-Tixagevimab administration</w:t>
            </w:r>
          </w:p>
        </w:tc>
        <w:tc>
          <w:tcPr>
            <w:tcW w:w="3284" w:type="dxa"/>
            <w:shd w:val="clear" w:color="auto" w:fill="auto"/>
          </w:tcPr>
          <w:p w14:paraId="60D31BD4" w14:textId="1336AF6D" w:rsidR="00E953B9" w:rsidRPr="00EF2D86" w:rsidRDefault="00ED1166" w:rsidP="008C2E7A">
            <w:pPr>
              <w:jc w:val="both"/>
              <w:rPr>
                <w:rFonts w:ascii="Cambria" w:hAnsi="Cambria"/>
                <w:color w:val="0D0D0D" w:themeColor="text1" w:themeTint="F2"/>
                <w:sz w:val="18"/>
                <w:szCs w:val="18"/>
              </w:rPr>
            </w:pPr>
            <w:r w:rsidRPr="00EF2D86">
              <w:rPr>
                <w:rFonts w:ascii="Cambria" w:hAnsi="Cambria" w:cs="Arial"/>
                <w:color w:val="0D0D0D" w:themeColor="text1" w:themeTint="F2"/>
                <w:sz w:val="18"/>
                <w:szCs w:val="18"/>
                <w:shd w:val="clear" w:color="auto" w:fill="FFFFFF"/>
              </w:rPr>
              <w:t>We show that detectable antibodies after vaccination decrease risk for infection. Moderna appears to have greater efficacy, with more patients having positive antibody titers and a lower risk of developing COVID19.</w:t>
            </w:r>
          </w:p>
        </w:tc>
      </w:tr>
      <w:tr w:rsidR="00A85296" w:rsidRPr="008C2E7A" w14:paraId="49F92CC1" w14:textId="77777777" w:rsidTr="00ED1166">
        <w:trPr>
          <w:trHeight w:val="1178"/>
        </w:trPr>
        <w:tc>
          <w:tcPr>
            <w:tcW w:w="2286" w:type="dxa"/>
            <w:shd w:val="clear" w:color="auto" w:fill="auto"/>
          </w:tcPr>
          <w:p w14:paraId="397E613D" w14:textId="77777777" w:rsidR="00ED1166" w:rsidRPr="00EF2D86" w:rsidRDefault="00ED1166" w:rsidP="00ED1166">
            <w:pPr>
              <w:pStyle w:val="Heading1"/>
              <w:shd w:val="clear" w:color="auto" w:fill="FFFFFF"/>
              <w:spacing w:before="0" w:beforeAutospacing="0" w:after="0" w:afterAutospacing="0"/>
              <w:outlineLvl w:val="0"/>
              <w:rPr>
                <w:rFonts w:ascii="Cambria" w:hAnsi="Cambria" w:cs="Arial"/>
                <w:b w:val="0"/>
                <w:bCs w:val="0"/>
                <w:color w:val="0D0D0D" w:themeColor="text1" w:themeTint="F2"/>
                <w:sz w:val="18"/>
                <w:szCs w:val="18"/>
              </w:rPr>
            </w:pPr>
            <w:r w:rsidRPr="00EF2D86">
              <w:rPr>
                <w:rFonts w:ascii="Cambria" w:hAnsi="Cambria" w:cs="Arial"/>
                <w:b w:val="0"/>
                <w:bCs w:val="0"/>
                <w:color w:val="0D0D0D" w:themeColor="text1" w:themeTint="F2"/>
                <w:sz w:val="18"/>
                <w:szCs w:val="18"/>
              </w:rPr>
              <w:t>Signals of Cardiovascular Issues with COVID19 Vaccines in VAERS</w:t>
            </w:r>
          </w:p>
          <w:p w14:paraId="22353D53" w14:textId="04F8672E" w:rsidR="00E953B9" w:rsidRPr="00EF2D86" w:rsidRDefault="00E953B9" w:rsidP="00A6790D">
            <w:pPr>
              <w:rPr>
                <w:color w:val="0D0D0D" w:themeColor="text1" w:themeTint="F2"/>
                <w:sz w:val="20"/>
                <w:szCs w:val="20"/>
              </w:rPr>
            </w:pPr>
          </w:p>
        </w:tc>
        <w:tc>
          <w:tcPr>
            <w:tcW w:w="2952" w:type="dxa"/>
            <w:shd w:val="clear" w:color="auto" w:fill="auto"/>
          </w:tcPr>
          <w:p w14:paraId="3576E7D5" w14:textId="77777777" w:rsidR="006901B2" w:rsidRPr="00EF2D86" w:rsidRDefault="00ED1166" w:rsidP="00ED1166">
            <w:pPr>
              <w:pStyle w:val="ListParagraph"/>
              <w:numPr>
                <w:ilvl w:val="0"/>
                <w:numId w:val="11"/>
              </w:numPr>
              <w:rPr>
                <w:rFonts w:ascii="Cambria" w:hAnsi="Cambria"/>
                <w:color w:val="0D0D0D" w:themeColor="text1" w:themeTint="F2"/>
                <w:sz w:val="18"/>
                <w:szCs w:val="18"/>
              </w:rPr>
            </w:pPr>
            <w:r w:rsidRPr="00EF2D86">
              <w:rPr>
                <w:rFonts w:ascii="Cambria" w:hAnsi="Cambria" w:cs="Arial"/>
                <w:color w:val="0D0D0D" w:themeColor="text1" w:themeTint="F2"/>
                <w:sz w:val="18"/>
                <w:szCs w:val="18"/>
                <w:shd w:val="clear" w:color="auto" w:fill="FFFFFF"/>
              </w:rPr>
              <w:t>FDA Vaccine Adverse Event Reporting System</w:t>
            </w:r>
          </w:p>
          <w:p w14:paraId="0BD6F7D8" w14:textId="77777777" w:rsidR="00ED1166" w:rsidRPr="00EF2D86" w:rsidRDefault="00ED1166" w:rsidP="00ED1166">
            <w:pPr>
              <w:pStyle w:val="ListParagraph"/>
              <w:numPr>
                <w:ilvl w:val="0"/>
                <w:numId w:val="11"/>
              </w:numPr>
              <w:rPr>
                <w:rFonts w:ascii="Cambria" w:hAnsi="Cambria"/>
                <w:color w:val="0D0D0D" w:themeColor="text1" w:themeTint="F2"/>
                <w:sz w:val="18"/>
                <w:szCs w:val="18"/>
              </w:rPr>
            </w:pPr>
            <w:r w:rsidRPr="00EF2D86">
              <w:rPr>
                <w:rFonts w:ascii="Cambria" w:hAnsi="Cambria"/>
                <w:color w:val="0D0D0D" w:themeColor="text1" w:themeTint="F2"/>
                <w:sz w:val="18"/>
                <w:szCs w:val="18"/>
                <w:shd w:val="clear" w:color="auto" w:fill="FFFFFF"/>
              </w:rPr>
              <w:t> GPS-enabled thermal sensors </w:t>
            </w:r>
          </w:p>
          <w:p w14:paraId="6F7E58B0" w14:textId="55F0620B" w:rsidR="00ED1166" w:rsidRPr="00EF2D86" w:rsidRDefault="00ED1166" w:rsidP="00ED1166">
            <w:pPr>
              <w:pStyle w:val="ListParagraph"/>
              <w:numPr>
                <w:ilvl w:val="0"/>
                <w:numId w:val="11"/>
              </w:numPr>
              <w:rPr>
                <w:rFonts w:ascii="Cambria" w:hAnsi="Cambria"/>
                <w:color w:val="0D0D0D" w:themeColor="text1" w:themeTint="F2"/>
                <w:sz w:val="18"/>
                <w:szCs w:val="18"/>
              </w:rPr>
            </w:pPr>
            <w:r w:rsidRPr="00EF2D86">
              <w:rPr>
                <w:rFonts w:ascii="Cambria" w:hAnsi="Cambria"/>
                <w:color w:val="0D0D0D" w:themeColor="text1" w:themeTint="F2"/>
                <w:sz w:val="18"/>
                <w:szCs w:val="18"/>
                <w:shd w:val="clear" w:color="auto" w:fill="FFFFFF"/>
              </w:rPr>
              <w:t>Big data analysis </w:t>
            </w:r>
          </w:p>
        </w:tc>
        <w:tc>
          <w:tcPr>
            <w:tcW w:w="3284" w:type="dxa"/>
            <w:shd w:val="clear" w:color="auto" w:fill="auto"/>
          </w:tcPr>
          <w:p w14:paraId="5D1D5956" w14:textId="22383386" w:rsidR="00E953B9" w:rsidRPr="00EF2D86" w:rsidRDefault="00ED1166" w:rsidP="00541304">
            <w:pPr>
              <w:jc w:val="both"/>
              <w:rPr>
                <w:rFonts w:ascii="Cambria" w:hAnsi="Cambria"/>
                <w:color w:val="0D0D0D" w:themeColor="text1" w:themeTint="F2"/>
                <w:sz w:val="18"/>
                <w:szCs w:val="18"/>
              </w:rPr>
            </w:pPr>
            <w:r w:rsidRPr="00EF2D86">
              <w:rPr>
                <w:rFonts w:ascii="Cambria" w:hAnsi="Cambria" w:cs="Arial"/>
                <w:color w:val="0D0D0D" w:themeColor="text1" w:themeTint="F2"/>
                <w:sz w:val="18"/>
                <w:szCs w:val="18"/>
                <w:shd w:val="clear" w:color="auto" w:fill="FFFFFF"/>
              </w:rPr>
              <w:t>While signals of these events are higher for COVID19 than other vaccines, the incidence rates are comparable to the normally expected rate for non-vaccinated individuals.</w:t>
            </w:r>
          </w:p>
        </w:tc>
      </w:tr>
    </w:tbl>
    <w:p w14:paraId="7B1688D5" w14:textId="77777777" w:rsidR="00E953B9" w:rsidRPr="00E953B9" w:rsidRDefault="00E953B9" w:rsidP="00E953B9">
      <w:pPr>
        <w:ind w:left="720"/>
        <w:rPr>
          <w:sz w:val="22"/>
          <w:szCs w:val="20"/>
        </w:rPr>
      </w:pPr>
    </w:p>
    <w:p w14:paraId="41064A7D" w14:textId="77777777" w:rsidR="00E953B9" w:rsidRPr="00E953B9" w:rsidRDefault="00E953B9" w:rsidP="00E953B9">
      <w:pPr>
        <w:rPr>
          <w:b/>
          <w:bCs/>
          <w:sz w:val="22"/>
          <w:szCs w:val="20"/>
        </w:rPr>
      </w:pPr>
    </w:p>
    <w:p w14:paraId="35C211A4" w14:textId="3C9F2975" w:rsidR="00E953B9" w:rsidRPr="00E953B9" w:rsidRDefault="00E953B9" w:rsidP="00E953B9">
      <w:pPr>
        <w:rPr>
          <w:b/>
          <w:bCs/>
          <w:sz w:val="22"/>
          <w:szCs w:val="20"/>
        </w:rPr>
      </w:pPr>
      <w:r w:rsidRPr="00E953B9">
        <w:rPr>
          <w:b/>
          <w:bCs/>
          <w:sz w:val="22"/>
          <w:szCs w:val="20"/>
        </w:rPr>
        <w:lastRenderedPageBreak/>
        <w:t>REFERENCES:</w:t>
      </w:r>
    </w:p>
    <w:p w14:paraId="524517C4" w14:textId="77777777" w:rsidR="00ED1166" w:rsidRPr="00ED1166" w:rsidRDefault="008C2E7A" w:rsidP="00ED1166">
      <w:pPr>
        <w:shd w:val="clear" w:color="auto" w:fill="FFFFFF"/>
        <w:rPr>
          <w:rFonts w:ascii="Cambria" w:hAnsi="Cambria"/>
          <w:color w:val="212121"/>
          <w:sz w:val="20"/>
          <w:szCs w:val="26"/>
        </w:rPr>
      </w:pPr>
      <w:r w:rsidRPr="00ED1166">
        <w:rPr>
          <w:sz w:val="16"/>
          <w:szCs w:val="20"/>
        </w:rPr>
        <w:t xml:space="preserve"> </w:t>
      </w:r>
      <w:r w:rsidR="00ED1166" w:rsidRPr="00ED1166">
        <w:rPr>
          <w:rFonts w:ascii="Cambria" w:hAnsi="Cambria"/>
          <w:color w:val="212121"/>
          <w:sz w:val="20"/>
          <w:szCs w:val="26"/>
        </w:rPr>
        <w:t>1. </w:t>
      </w:r>
      <w:r w:rsidR="00ED1166" w:rsidRPr="00ED1166">
        <w:rPr>
          <w:rStyle w:val="mixed-citation"/>
          <w:rFonts w:ascii="Cambria" w:hAnsi="Cambria"/>
          <w:color w:val="212121"/>
          <w:sz w:val="20"/>
          <w:szCs w:val="26"/>
        </w:rPr>
        <w:t>Lee D. Unemployment hits 14.7% in April. How long before 20.5 million lost jobs come back? 2020. Available: https://www. latimes. com/politics/ story/ 2020- 05- 08/ jobs- report- labor- market- shock [Accessed 3 Jun 2020].</w:t>
      </w:r>
    </w:p>
    <w:p w14:paraId="3FAD971D"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2. </w:t>
      </w:r>
      <w:r w:rsidRPr="00ED1166">
        <w:rPr>
          <w:rStyle w:val="element-citation"/>
          <w:rFonts w:ascii="Cambria" w:hAnsi="Cambria"/>
          <w:color w:val="212121"/>
          <w:sz w:val="20"/>
          <w:szCs w:val="26"/>
        </w:rPr>
        <w:t>Bramstedt KA. Antibodies as Currency: COVID-19’s Golden Passport. </w:t>
      </w:r>
      <w:r w:rsidRPr="00ED1166">
        <w:rPr>
          <w:rStyle w:val="ref-journal"/>
          <w:rFonts w:ascii="Cambria" w:hAnsi="Cambria"/>
          <w:i/>
          <w:iCs/>
          <w:color w:val="212121"/>
          <w:sz w:val="20"/>
          <w:szCs w:val="26"/>
        </w:rPr>
        <w:t>J Bioeth Inq. </w:t>
      </w:r>
      <w:r w:rsidRPr="00ED1166">
        <w:rPr>
          <w:rStyle w:val="element-citation"/>
          <w:rFonts w:ascii="Cambria" w:hAnsi="Cambria"/>
          <w:color w:val="212121"/>
          <w:sz w:val="20"/>
          <w:szCs w:val="26"/>
        </w:rPr>
        <w:t>2020 </w:t>
      </w:r>
      <w:r w:rsidRPr="00ED1166">
        <w:rPr>
          <w:rStyle w:val="nowrap"/>
          <w:rFonts w:ascii="Cambria" w:hAnsi="Cambria"/>
          <w:color w:val="212121"/>
          <w:sz w:val="20"/>
          <w:szCs w:val="26"/>
        </w:rPr>
        <w:t>[</w:t>
      </w:r>
      <w:hyperlink r:id="rId7" w:history="1">
        <w:r w:rsidRPr="00ED1166">
          <w:rPr>
            <w:rStyle w:val="Hyperlink"/>
            <w:rFonts w:ascii="Cambria" w:hAnsi="Cambria"/>
            <w:color w:val="376FAA"/>
            <w:sz w:val="20"/>
            <w:szCs w:val="26"/>
          </w:rPr>
          <w:t>PMC free article</w:t>
        </w:r>
      </w:hyperlink>
      <w:r w:rsidRPr="00ED1166">
        <w:rPr>
          <w:rStyle w:val="nowrap"/>
          <w:rFonts w:ascii="Cambria" w:hAnsi="Cambria"/>
          <w:color w:val="212121"/>
          <w:sz w:val="20"/>
          <w:szCs w:val="26"/>
        </w:rPr>
        <w:t>]</w:t>
      </w:r>
      <w:r w:rsidRPr="00ED1166">
        <w:rPr>
          <w:rStyle w:val="element-citation"/>
          <w:rFonts w:ascii="Cambria" w:hAnsi="Cambria"/>
          <w:color w:val="212121"/>
          <w:sz w:val="20"/>
          <w:szCs w:val="26"/>
        </w:rPr>
        <w:t> [</w:t>
      </w:r>
      <w:hyperlink r:id="rId8" w:history="1">
        <w:r w:rsidRPr="00ED1166">
          <w:rPr>
            <w:rStyle w:val="Hyperlink"/>
            <w:rFonts w:ascii="Cambria" w:hAnsi="Cambria"/>
            <w:color w:val="376FAA"/>
            <w:sz w:val="20"/>
            <w:szCs w:val="26"/>
          </w:rPr>
          <w:t>PubMed</w:t>
        </w:r>
      </w:hyperlink>
      <w:r w:rsidRPr="00ED1166">
        <w:rPr>
          <w:rStyle w:val="element-citation"/>
          <w:rFonts w:ascii="Cambria" w:hAnsi="Cambria"/>
          <w:color w:val="212121"/>
          <w:sz w:val="20"/>
          <w:szCs w:val="26"/>
        </w:rPr>
        <w:t>] </w:t>
      </w:r>
      <w:r w:rsidRPr="00ED1166">
        <w:rPr>
          <w:rStyle w:val="nowrap"/>
          <w:rFonts w:ascii="Cambria" w:hAnsi="Cambria"/>
          <w:color w:val="212121"/>
          <w:sz w:val="20"/>
          <w:szCs w:val="26"/>
        </w:rPr>
        <w:t>[</w:t>
      </w:r>
      <w:hyperlink r:id="rId9" w:tgtFrame="_blank" w:history="1">
        <w:r w:rsidRPr="00ED1166">
          <w:rPr>
            <w:rStyle w:val="Hyperlink"/>
            <w:rFonts w:ascii="Cambria" w:hAnsi="Cambria"/>
            <w:color w:val="376FAA"/>
            <w:sz w:val="20"/>
            <w:szCs w:val="26"/>
          </w:rPr>
          <w:t>Google Scholar</w:t>
        </w:r>
      </w:hyperlink>
      <w:r w:rsidRPr="00ED1166">
        <w:rPr>
          <w:rStyle w:val="nowrap"/>
          <w:rFonts w:ascii="Cambria" w:hAnsi="Cambria"/>
          <w:color w:val="212121"/>
          <w:sz w:val="20"/>
          <w:szCs w:val="26"/>
        </w:rPr>
        <w:t>]</w:t>
      </w:r>
    </w:p>
    <w:p w14:paraId="018B165F"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3. </w:t>
      </w:r>
      <w:r w:rsidRPr="00ED1166">
        <w:rPr>
          <w:rStyle w:val="element-citation"/>
          <w:rFonts w:ascii="Cambria" w:hAnsi="Cambria"/>
          <w:color w:val="212121"/>
          <w:sz w:val="20"/>
          <w:szCs w:val="26"/>
        </w:rPr>
        <w:t>Ball-Rokeach S.J., DeFleur M.L. A dependency model of mass-media effects. </w:t>
      </w:r>
      <w:r w:rsidRPr="00ED1166">
        <w:rPr>
          <w:rStyle w:val="ref-journal"/>
          <w:rFonts w:ascii="Cambria" w:hAnsi="Cambria"/>
          <w:i/>
          <w:iCs/>
          <w:color w:val="212121"/>
          <w:sz w:val="20"/>
          <w:szCs w:val="26"/>
        </w:rPr>
        <w:t>Commun. Res. </w:t>
      </w:r>
      <w:r w:rsidRPr="00ED1166">
        <w:rPr>
          <w:rStyle w:val="element-citation"/>
          <w:rFonts w:ascii="Cambria" w:hAnsi="Cambria"/>
          <w:color w:val="212121"/>
          <w:sz w:val="20"/>
          <w:szCs w:val="26"/>
        </w:rPr>
        <w:t>1976;</w:t>
      </w:r>
      <w:r w:rsidRPr="00ED1166">
        <w:rPr>
          <w:rStyle w:val="ref-vol"/>
          <w:rFonts w:ascii="Cambria" w:hAnsi="Cambria"/>
          <w:color w:val="212121"/>
          <w:sz w:val="20"/>
          <w:szCs w:val="26"/>
        </w:rPr>
        <w:t>3</w:t>
      </w:r>
      <w:r w:rsidRPr="00ED1166">
        <w:rPr>
          <w:rStyle w:val="element-citation"/>
          <w:rFonts w:ascii="Cambria" w:hAnsi="Cambria"/>
          <w:color w:val="212121"/>
          <w:sz w:val="20"/>
          <w:szCs w:val="26"/>
        </w:rPr>
        <w:t>:3–21. </w:t>
      </w:r>
      <w:r w:rsidRPr="00ED1166">
        <w:rPr>
          <w:rStyle w:val="nowrap"/>
          <w:rFonts w:ascii="Cambria" w:hAnsi="Cambria"/>
          <w:color w:val="212121"/>
          <w:sz w:val="20"/>
          <w:szCs w:val="26"/>
        </w:rPr>
        <w:t>[</w:t>
      </w:r>
      <w:hyperlink r:id="rId10" w:tgtFrame="_blank" w:history="1">
        <w:r w:rsidRPr="00ED1166">
          <w:rPr>
            <w:rStyle w:val="Hyperlink"/>
            <w:rFonts w:ascii="Cambria" w:hAnsi="Cambria"/>
            <w:color w:val="376FAA"/>
            <w:sz w:val="20"/>
            <w:szCs w:val="26"/>
          </w:rPr>
          <w:t>Google Scholar</w:t>
        </w:r>
      </w:hyperlink>
      <w:r w:rsidRPr="00ED1166">
        <w:rPr>
          <w:rStyle w:val="nowrap"/>
          <w:rFonts w:ascii="Cambria" w:hAnsi="Cambria"/>
          <w:color w:val="212121"/>
          <w:sz w:val="20"/>
          <w:szCs w:val="26"/>
        </w:rPr>
        <w:t>]</w:t>
      </w:r>
    </w:p>
    <w:p w14:paraId="4FE5DE07"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4. </w:t>
      </w:r>
      <w:r w:rsidRPr="00ED1166">
        <w:rPr>
          <w:rStyle w:val="element-citation"/>
          <w:rFonts w:ascii="Cambria" w:hAnsi="Cambria"/>
          <w:color w:val="212121"/>
          <w:sz w:val="20"/>
          <w:szCs w:val="26"/>
        </w:rPr>
        <w:t>Luo Q., Zhong D. Using Social NetworkAnalysis to ExplainCommunication Characteristics ofTravel-Related Electronic Word-of Mouth on Social Networking Sites. </w:t>
      </w:r>
      <w:r w:rsidRPr="00ED1166">
        <w:rPr>
          <w:rStyle w:val="ref-journal"/>
          <w:rFonts w:ascii="Cambria" w:hAnsi="Cambria"/>
          <w:i/>
          <w:iCs/>
          <w:color w:val="212121"/>
          <w:sz w:val="20"/>
          <w:szCs w:val="26"/>
        </w:rPr>
        <w:t>Tour. Manag. </w:t>
      </w:r>
      <w:r w:rsidRPr="00ED1166">
        <w:rPr>
          <w:rStyle w:val="element-citation"/>
          <w:rFonts w:ascii="Cambria" w:hAnsi="Cambria"/>
          <w:color w:val="212121"/>
          <w:sz w:val="20"/>
          <w:szCs w:val="26"/>
        </w:rPr>
        <w:t>2015;</w:t>
      </w:r>
      <w:r w:rsidRPr="00ED1166">
        <w:rPr>
          <w:rStyle w:val="ref-vol"/>
          <w:rFonts w:ascii="Cambria" w:hAnsi="Cambria"/>
          <w:color w:val="212121"/>
          <w:sz w:val="20"/>
          <w:szCs w:val="26"/>
        </w:rPr>
        <w:t>46</w:t>
      </w:r>
      <w:r w:rsidRPr="00ED1166">
        <w:rPr>
          <w:rStyle w:val="element-citation"/>
          <w:rFonts w:ascii="Cambria" w:hAnsi="Cambria"/>
          <w:color w:val="212121"/>
          <w:sz w:val="20"/>
          <w:szCs w:val="26"/>
        </w:rPr>
        <w:t>:274–282. </w:t>
      </w:r>
      <w:r w:rsidRPr="00ED1166">
        <w:rPr>
          <w:rStyle w:val="nowrap"/>
          <w:rFonts w:ascii="Cambria" w:hAnsi="Cambria"/>
          <w:color w:val="212121"/>
          <w:sz w:val="20"/>
          <w:szCs w:val="26"/>
        </w:rPr>
        <w:t>[</w:t>
      </w:r>
      <w:hyperlink r:id="rId11" w:tgtFrame="_blank" w:history="1">
        <w:r w:rsidRPr="00ED1166">
          <w:rPr>
            <w:rStyle w:val="Hyperlink"/>
            <w:rFonts w:ascii="Cambria" w:hAnsi="Cambria"/>
            <w:color w:val="376FAA"/>
            <w:sz w:val="20"/>
            <w:szCs w:val="26"/>
          </w:rPr>
          <w:t>Google Scholar</w:t>
        </w:r>
      </w:hyperlink>
      <w:r w:rsidRPr="00ED1166">
        <w:rPr>
          <w:rStyle w:val="nowrap"/>
          <w:rFonts w:ascii="Cambria" w:hAnsi="Cambria"/>
          <w:color w:val="212121"/>
          <w:sz w:val="20"/>
          <w:szCs w:val="26"/>
        </w:rPr>
        <w:t>]</w:t>
      </w:r>
    </w:p>
    <w:p w14:paraId="40839021"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5. </w:t>
      </w:r>
      <w:r w:rsidRPr="00ED1166">
        <w:rPr>
          <w:rStyle w:val="element-citation"/>
          <w:rFonts w:ascii="Cambria" w:hAnsi="Cambria"/>
          <w:color w:val="212121"/>
          <w:sz w:val="20"/>
          <w:szCs w:val="26"/>
        </w:rPr>
        <w:t>George G., Haas M.R., Pentland A. Big data and management. </w:t>
      </w:r>
      <w:r w:rsidRPr="00ED1166">
        <w:rPr>
          <w:rStyle w:val="ref-journal"/>
          <w:rFonts w:ascii="Cambria" w:hAnsi="Cambria"/>
          <w:i/>
          <w:iCs/>
          <w:color w:val="212121"/>
          <w:sz w:val="20"/>
          <w:szCs w:val="26"/>
        </w:rPr>
        <w:t>Acad. Manag. J. </w:t>
      </w:r>
      <w:r w:rsidRPr="00ED1166">
        <w:rPr>
          <w:rStyle w:val="element-citation"/>
          <w:rFonts w:ascii="Cambria" w:hAnsi="Cambria"/>
          <w:color w:val="212121"/>
          <w:sz w:val="20"/>
          <w:szCs w:val="26"/>
        </w:rPr>
        <w:t>2014;</w:t>
      </w:r>
      <w:r w:rsidRPr="00ED1166">
        <w:rPr>
          <w:rStyle w:val="ref-vol"/>
          <w:rFonts w:ascii="Cambria" w:hAnsi="Cambria"/>
          <w:color w:val="212121"/>
          <w:sz w:val="20"/>
          <w:szCs w:val="26"/>
        </w:rPr>
        <w:t>57</w:t>
      </w:r>
      <w:r w:rsidRPr="00ED1166">
        <w:rPr>
          <w:rStyle w:val="element-citation"/>
          <w:rFonts w:ascii="Cambria" w:hAnsi="Cambria"/>
          <w:color w:val="212121"/>
          <w:sz w:val="20"/>
          <w:szCs w:val="26"/>
        </w:rPr>
        <w:t>:321–326. </w:t>
      </w:r>
      <w:r w:rsidRPr="00ED1166">
        <w:rPr>
          <w:rStyle w:val="nowrap"/>
          <w:rFonts w:ascii="Cambria" w:hAnsi="Cambria"/>
          <w:color w:val="212121"/>
          <w:sz w:val="20"/>
          <w:szCs w:val="26"/>
        </w:rPr>
        <w:t>[</w:t>
      </w:r>
      <w:hyperlink r:id="rId12" w:tgtFrame="_blank" w:history="1">
        <w:r w:rsidRPr="00ED1166">
          <w:rPr>
            <w:rStyle w:val="Hyperlink"/>
            <w:rFonts w:ascii="Cambria" w:hAnsi="Cambria"/>
            <w:color w:val="376FAA"/>
            <w:sz w:val="20"/>
            <w:szCs w:val="26"/>
          </w:rPr>
          <w:t>Google Scholar</w:t>
        </w:r>
      </w:hyperlink>
      <w:r w:rsidRPr="00ED1166">
        <w:rPr>
          <w:rStyle w:val="nowrap"/>
          <w:rFonts w:ascii="Cambria" w:hAnsi="Cambria"/>
          <w:color w:val="212121"/>
          <w:sz w:val="20"/>
          <w:szCs w:val="26"/>
        </w:rPr>
        <w:t>]</w:t>
      </w:r>
    </w:p>
    <w:p w14:paraId="123D2246"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6. </w:t>
      </w:r>
      <w:r w:rsidRPr="00ED1166">
        <w:rPr>
          <w:rStyle w:val="element-citation"/>
          <w:rFonts w:ascii="Cambria" w:hAnsi="Cambria"/>
          <w:color w:val="212121"/>
          <w:sz w:val="20"/>
          <w:szCs w:val="26"/>
        </w:rPr>
        <w:t>Gonzalez R., Llopis J., Gasco J. Social networks in cultural industries. </w:t>
      </w:r>
      <w:r w:rsidRPr="00ED1166">
        <w:rPr>
          <w:rStyle w:val="ref-journal"/>
          <w:rFonts w:ascii="Cambria" w:hAnsi="Cambria"/>
          <w:i/>
          <w:iCs/>
          <w:color w:val="212121"/>
          <w:sz w:val="20"/>
          <w:szCs w:val="26"/>
        </w:rPr>
        <w:t>J. Bus. Res. </w:t>
      </w:r>
      <w:r w:rsidRPr="00ED1166">
        <w:rPr>
          <w:rStyle w:val="element-citation"/>
          <w:rFonts w:ascii="Cambria" w:hAnsi="Cambria"/>
          <w:color w:val="212121"/>
          <w:sz w:val="20"/>
          <w:szCs w:val="26"/>
        </w:rPr>
        <w:t>2015;</w:t>
      </w:r>
      <w:r w:rsidRPr="00ED1166">
        <w:rPr>
          <w:rStyle w:val="ref-vol"/>
          <w:rFonts w:ascii="Cambria" w:hAnsi="Cambria"/>
          <w:color w:val="212121"/>
          <w:sz w:val="20"/>
          <w:szCs w:val="26"/>
        </w:rPr>
        <w:t>68</w:t>
      </w:r>
      <w:r w:rsidRPr="00ED1166">
        <w:rPr>
          <w:rStyle w:val="element-citation"/>
          <w:rFonts w:ascii="Cambria" w:hAnsi="Cambria"/>
          <w:color w:val="212121"/>
          <w:sz w:val="20"/>
          <w:szCs w:val="26"/>
        </w:rPr>
        <w:t>:823–828. </w:t>
      </w:r>
      <w:r w:rsidRPr="00ED1166">
        <w:rPr>
          <w:rStyle w:val="nowrap"/>
          <w:rFonts w:ascii="Cambria" w:hAnsi="Cambria"/>
          <w:color w:val="212121"/>
          <w:sz w:val="20"/>
          <w:szCs w:val="26"/>
        </w:rPr>
        <w:t>[</w:t>
      </w:r>
      <w:hyperlink r:id="rId13" w:tgtFrame="_blank" w:history="1">
        <w:r w:rsidRPr="00ED1166">
          <w:rPr>
            <w:rStyle w:val="Hyperlink"/>
            <w:rFonts w:ascii="Cambria" w:hAnsi="Cambria"/>
            <w:color w:val="376FAA"/>
            <w:sz w:val="20"/>
            <w:szCs w:val="26"/>
          </w:rPr>
          <w:t>Google Scholar</w:t>
        </w:r>
      </w:hyperlink>
      <w:r w:rsidRPr="00ED1166">
        <w:rPr>
          <w:rStyle w:val="nowrap"/>
          <w:rFonts w:ascii="Cambria" w:hAnsi="Cambria"/>
          <w:color w:val="212121"/>
          <w:sz w:val="20"/>
          <w:szCs w:val="26"/>
        </w:rPr>
        <w:t>]</w:t>
      </w:r>
    </w:p>
    <w:p w14:paraId="4E589A91"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7. </w:t>
      </w:r>
      <w:r w:rsidRPr="00ED1166">
        <w:rPr>
          <w:rStyle w:val="mixed-citation"/>
          <w:rFonts w:ascii="Cambria" w:hAnsi="Cambria"/>
          <w:color w:val="212121"/>
          <w:sz w:val="20"/>
          <w:szCs w:val="26"/>
        </w:rPr>
        <w:t>Analytics insight,HOW BIG DATA ANALYTICS CAN BE USED TO IMPROVE CUSTOMER EXPERIENCE?,available at:https://www.analyticsinsight.net/how-big-data-analytics-can-be-used-to-improve-customer-experience/, 2020.</w:t>
      </w:r>
    </w:p>
    <w:p w14:paraId="382E7CED"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8. </w:t>
      </w:r>
      <w:r w:rsidRPr="00ED1166">
        <w:rPr>
          <w:rStyle w:val="element-citation"/>
          <w:rFonts w:ascii="Cambria" w:hAnsi="Cambria"/>
          <w:color w:val="212121"/>
          <w:sz w:val="20"/>
          <w:szCs w:val="26"/>
        </w:rPr>
        <w:t>Interim updated planning guidance on allocating and targeting pandemic Inf luenza vaccine during an influenza pandemic. </w:t>
      </w:r>
      <w:r w:rsidRPr="00ED1166">
        <w:rPr>
          <w:rStyle w:val="ref-journal"/>
          <w:rFonts w:ascii="Cambria" w:hAnsi="Cambria"/>
          <w:i/>
          <w:iCs/>
          <w:color w:val="212121"/>
          <w:sz w:val="20"/>
          <w:szCs w:val="26"/>
        </w:rPr>
        <w:t>centers for disease control and prevention. </w:t>
      </w:r>
      <w:r w:rsidRPr="00ED1166">
        <w:rPr>
          <w:rStyle w:val="element-citation"/>
          <w:rFonts w:ascii="Cambria" w:hAnsi="Cambria"/>
          <w:color w:val="212121"/>
          <w:sz w:val="20"/>
          <w:szCs w:val="26"/>
        </w:rPr>
        <w:t>2018 </w:t>
      </w:r>
      <w:r w:rsidRPr="00ED1166">
        <w:rPr>
          <w:rStyle w:val="nowrap"/>
          <w:rFonts w:ascii="Cambria" w:hAnsi="Cambria"/>
          <w:color w:val="212121"/>
          <w:sz w:val="20"/>
          <w:szCs w:val="26"/>
        </w:rPr>
        <w:t>[</w:t>
      </w:r>
      <w:hyperlink r:id="rId14" w:tgtFrame="_blank" w:history="1">
        <w:r w:rsidRPr="00ED1166">
          <w:rPr>
            <w:rStyle w:val="Hyperlink"/>
            <w:rFonts w:ascii="Cambria" w:hAnsi="Cambria"/>
            <w:color w:val="376FAA"/>
            <w:sz w:val="20"/>
            <w:szCs w:val="26"/>
          </w:rPr>
          <w:t>Google Scholar</w:t>
        </w:r>
      </w:hyperlink>
      <w:r w:rsidRPr="00ED1166">
        <w:rPr>
          <w:rStyle w:val="nowrap"/>
          <w:rFonts w:ascii="Cambria" w:hAnsi="Cambria"/>
          <w:color w:val="212121"/>
          <w:sz w:val="20"/>
          <w:szCs w:val="26"/>
        </w:rPr>
        <w:t>]</w:t>
      </w:r>
    </w:p>
    <w:p w14:paraId="6A7B582D"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9. </w:t>
      </w:r>
      <w:r w:rsidRPr="00ED1166">
        <w:rPr>
          <w:rStyle w:val="mixed-citation"/>
          <w:rFonts w:ascii="Cambria" w:hAnsi="Cambria"/>
          <w:color w:val="212121"/>
          <w:sz w:val="20"/>
          <w:szCs w:val="26"/>
        </w:rPr>
        <w:t>World Health Organization, Immunization supply chain and logistics. www.who.int/immunization/programmes_systems/supply_chain/en/, 2020.</w:t>
      </w:r>
    </w:p>
    <w:p w14:paraId="18F2AC83"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10. </w:t>
      </w:r>
      <w:r w:rsidRPr="00ED1166">
        <w:rPr>
          <w:rStyle w:val="element-citation"/>
          <w:rFonts w:ascii="Cambria" w:hAnsi="Cambria"/>
          <w:color w:val="212121"/>
          <w:sz w:val="20"/>
          <w:szCs w:val="26"/>
        </w:rPr>
        <w:t>Koller T., Clarke D., Vian T. Promoting anti-corruption, transparency and accountability to achieve universal health coverage. </w:t>
      </w:r>
      <w:r w:rsidRPr="00ED1166">
        <w:rPr>
          <w:rStyle w:val="ref-journal"/>
          <w:rFonts w:ascii="Cambria" w:hAnsi="Cambria"/>
          <w:i/>
          <w:iCs/>
          <w:color w:val="212121"/>
          <w:sz w:val="20"/>
          <w:szCs w:val="26"/>
        </w:rPr>
        <w:t>Global Health Action. </w:t>
      </w:r>
      <w:r w:rsidRPr="00ED1166">
        <w:rPr>
          <w:rStyle w:val="element-citation"/>
          <w:rFonts w:ascii="Cambria" w:hAnsi="Cambria"/>
          <w:color w:val="212121"/>
          <w:sz w:val="20"/>
          <w:szCs w:val="26"/>
        </w:rPr>
        <w:t>2020;</w:t>
      </w:r>
      <w:r w:rsidRPr="00ED1166">
        <w:rPr>
          <w:rStyle w:val="ref-vol"/>
          <w:rFonts w:ascii="Cambria" w:hAnsi="Cambria"/>
          <w:color w:val="212121"/>
          <w:sz w:val="20"/>
          <w:szCs w:val="26"/>
        </w:rPr>
        <w:t>13</w:t>
      </w:r>
      <w:r w:rsidRPr="00ED1166">
        <w:rPr>
          <w:rStyle w:val="element-citation"/>
          <w:rFonts w:ascii="Cambria" w:hAnsi="Cambria"/>
          <w:color w:val="212121"/>
          <w:sz w:val="20"/>
          <w:szCs w:val="26"/>
        </w:rPr>
        <w:t> Issue sup1 and Patricia J. Garcia,Corruption in global health: the Lancet. </w:t>
      </w:r>
      <w:r w:rsidRPr="00ED1166">
        <w:rPr>
          <w:rStyle w:val="nowrap"/>
          <w:rFonts w:ascii="Cambria" w:hAnsi="Cambria"/>
          <w:color w:val="212121"/>
          <w:sz w:val="20"/>
          <w:szCs w:val="26"/>
        </w:rPr>
        <w:t>[</w:t>
      </w:r>
      <w:hyperlink r:id="rId15" w:history="1">
        <w:r w:rsidRPr="00ED1166">
          <w:rPr>
            <w:rStyle w:val="Hyperlink"/>
            <w:rFonts w:ascii="Cambria" w:hAnsi="Cambria"/>
            <w:color w:val="376FAA"/>
            <w:sz w:val="20"/>
            <w:szCs w:val="26"/>
          </w:rPr>
          <w:t>PMC free article</w:t>
        </w:r>
      </w:hyperlink>
      <w:r w:rsidRPr="00ED1166">
        <w:rPr>
          <w:rStyle w:val="nowrap"/>
          <w:rFonts w:ascii="Cambria" w:hAnsi="Cambria"/>
          <w:color w:val="212121"/>
          <w:sz w:val="20"/>
          <w:szCs w:val="26"/>
        </w:rPr>
        <w:t>]</w:t>
      </w:r>
      <w:r w:rsidRPr="00ED1166">
        <w:rPr>
          <w:rStyle w:val="element-citation"/>
          <w:rFonts w:ascii="Cambria" w:hAnsi="Cambria"/>
          <w:color w:val="212121"/>
          <w:sz w:val="20"/>
          <w:szCs w:val="26"/>
        </w:rPr>
        <w:t> [</w:t>
      </w:r>
      <w:hyperlink r:id="rId16" w:history="1">
        <w:r w:rsidRPr="00ED1166">
          <w:rPr>
            <w:rStyle w:val="Hyperlink"/>
            <w:rFonts w:ascii="Cambria" w:hAnsi="Cambria"/>
            <w:color w:val="376FAA"/>
            <w:sz w:val="20"/>
            <w:szCs w:val="26"/>
          </w:rPr>
          <w:t>PubMed</w:t>
        </w:r>
      </w:hyperlink>
      <w:r w:rsidRPr="00ED1166">
        <w:rPr>
          <w:rStyle w:val="element-citation"/>
          <w:rFonts w:ascii="Cambria" w:hAnsi="Cambria"/>
          <w:color w:val="212121"/>
          <w:sz w:val="20"/>
          <w:szCs w:val="26"/>
        </w:rPr>
        <w:t>] </w:t>
      </w:r>
      <w:r w:rsidRPr="00ED1166">
        <w:rPr>
          <w:rStyle w:val="nowrap"/>
          <w:rFonts w:ascii="Cambria" w:hAnsi="Cambria"/>
          <w:color w:val="212121"/>
          <w:sz w:val="20"/>
          <w:szCs w:val="26"/>
        </w:rPr>
        <w:t>[</w:t>
      </w:r>
      <w:hyperlink r:id="rId17" w:tgtFrame="_blank" w:history="1">
        <w:r w:rsidRPr="00ED1166">
          <w:rPr>
            <w:rStyle w:val="Hyperlink"/>
            <w:rFonts w:ascii="Cambria" w:hAnsi="Cambria"/>
            <w:color w:val="376FAA"/>
            <w:sz w:val="20"/>
            <w:szCs w:val="26"/>
          </w:rPr>
          <w:t>Google Scholar</w:t>
        </w:r>
      </w:hyperlink>
      <w:r w:rsidRPr="00ED1166">
        <w:rPr>
          <w:rStyle w:val="nowrap"/>
          <w:rFonts w:ascii="Cambria" w:hAnsi="Cambria"/>
          <w:color w:val="212121"/>
          <w:sz w:val="20"/>
          <w:szCs w:val="26"/>
        </w:rPr>
        <w:t>]</w:t>
      </w:r>
    </w:p>
    <w:p w14:paraId="30D0E23A"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11. </w:t>
      </w:r>
      <w:r w:rsidRPr="00ED1166">
        <w:rPr>
          <w:rStyle w:val="mixed-citation"/>
          <w:rFonts w:ascii="Cambria" w:hAnsi="Cambria"/>
          <w:color w:val="212121"/>
          <w:sz w:val="20"/>
          <w:szCs w:val="26"/>
        </w:rPr>
        <w:t>WHO. Report of the WHO Pandemic Influenza A(H1N1) Vaccine Deployment initiative. 2012. https://www.who.int/influenza_vaccines_ plan/resources/h1n1_deployment_report.pdf (accessed Dec 19, 2020).</w:t>
      </w:r>
    </w:p>
    <w:p w14:paraId="58838D3B"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12. </w:t>
      </w:r>
      <w:r w:rsidRPr="00ED1166">
        <w:rPr>
          <w:rStyle w:val="mixed-citation"/>
          <w:rFonts w:ascii="Cambria" w:hAnsi="Cambria"/>
          <w:color w:val="212121"/>
          <w:sz w:val="20"/>
          <w:szCs w:val="26"/>
        </w:rPr>
        <w:t>Gavi, the Vaccine Alliance. COVAX explained. Sept 12, 2020. https://www.gavi.org/vaccineswork/covax-explained (accessed Jan 14, 2021).</w:t>
      </w:r>
    </w:p>
    <w:p w14:paraId="49CDF92F"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13. </w:t>
      </w:r>
      <w:r w:rsidRPr="00ED1166">
        <w:rPr>
          <w:rStyle w:val="mixed-citation"/>
          <w:rFonts w:ascii="Cambria" w:hAnsi="Cambria"/>
          <w:color w:val="212121"/>
          <w:sz w:val="20"/>
          <w:szCs w:val="26"/>
        </w:rPr>
        <w:t>Apoorva Bellapu,REAL-TIME DATA STREAMING: LEVERAGING THE POSSIBILITIES OF DATA ANALYSIS(2021),https://www.analyticsinsight.net/real-time-data-streaming-leveraging-the-possibilities-of-data-analysis/.</w:t>
      </w:r>
    </w:p>
    <w:p w14:paraId="7DDD575D" w14:textId="77777777" w:rsidR="00ED1166" w:rsidRPr="00ED1166" w:rsidRDefault="00ED1166" w:rsidP="00ED1166">
      <w:pPr>
        <w:shd w:val="clear" w:color="auto" w:fill="FFFFFF"/>
        <w:rPr>
          <w:rFonts w:ascii="Cambria" w:hAnsi="Cambria"/>
          <w:color w:val="212121"/>
          <w:sz w:val="20"/>
          <w:szCs w:val="26"/>
        </w:rPr>
      </w:pPr>
      <w:r w:rsidRPr="00ED1166">
        <w:rPr>
          <w:rFonts w:ascii="Cambria" w:hAnsi="Cambria"/>
          <w:color w:val="212121"/>
          <w:sz w:val="20"/>
          <w:szCs w:val="26"/>
        </w:rPr>
        <w:t>14. </w:t>
      </w:r>
      <w:r w:rsidRPr="00ED1166">
        <w:rPr>
          <w:rStyle w:val="element-citation"/>
          <w:rFonts w:ascii="Cambria" w:hAnsi="Cambria"/>
          <w:color w:val="212121"/>
          <w:sz w:val="20"/>
          <w:szCs w:val="26"/>
        </w:rPr>
        <w:t>United Nations Office on Drugs and Crime Guidebook on anti-corruption in public procurement and the management of public finances. </w:t>
      </w:r>
      <w:r w:rsidRPr="00ED1166">
        <w:rPr>
          <w:rStyle w:val="ref-journal"/>
          <w:rFonts w:ascii="Cambria" w:hAnsi="Cambria"/>
          <w:i/>
          <w:iCs/>
          <w:color w:val="212121"/>
          <w:sz w:val="20"/>
          <w:szCs w:val="26"/>
        </w:rPr>
        <w:t>op.cit. </w:t>
      </w:r>
      <w:r w:rsidRPr="00ED1166">
        <w:rPr>
          <w:rStyle w:val="element-citation"/>
          <w:rFonts w:ascii="Cambria" w:hAnsi="Cambria"/>
          <w:color w:val="212121"/>
          <w:sz w:val="20"/>
          <w:szCs w:val="26"/>
        </w:rPr>
        <w:t>2013 </w:t>
      </w:r>
      <w:r w:rsidRPr="00ED1166">
        <w:rPr>
          <w:rStyle w:val="nowrap"/>
          <w:rFonts w:ascii="Cambria" w:hAnsi="Cambria"/>
          <w:color w:val="212121"/>
          <w:sz w:val="20"/>
          <w:szCs w:val="26"/>
        </w:rPr>
        <w:t>[</w:t>
      </w:r>
      <w:hyperlink r:id="rId18" w:tgtFrame="_blank" w:history="1">
        <w:r w:rsidRPr="00ED1166">
          <w:rPr>
            <w:rStyle w:val="Hyperlink"/>
            <w:rFonts w:ascii="Cambria" w:hAnsi="Cambria"/>
            <w:color w:val="376FAA"/>
            <w:sz w:val="20"/>
            <w:szCs w:val="26"/>
          </w:rPr>
          <w:t>Google Scholar</w:t>
        </w:r>
      </w:hyperlink>
      <w:r w:rsidRPr="00ED1166">
        <w:rPr>
          <w:rStyle w:val="nowrap"/>
          <w:rFonts w:ascii="Cambria" w:hAnsi="Cambria"/>
          <w:color w:val="212121"/>
          <w:sz w:val="20"/>
          <w:szCs w:val="26"/>
        </w:rPr>
        <w:t>]</w:t>
      </w:r>
    </w:p>
    <w:p w14:paraId="03E83429" w14:textId="06B5D8C4" w:rsidR="00E953B9" w:rsidRPr="00ED1166" w:rsidRDefault="00ED1166" w:rsidP="00ED1166">
      <w:pPr>
        <w:shd w:val="clear" w:color="auto" w:fill="FFFFFF"/>
        <w:rPr>
          <w:rFonts w:ascii="Cambria" w:hAnsi="Cambria"/>
          <w:color w:val="212121"/>
          <w:sz w:val="26"/>
          <w:szCs w:val="26"/>
        </w:rPr>
      </w:pPr>
      <w:r w:rsidRPr="00ED1166">
        <w:rPr>
          <w:rFonts w:ascii="Cambria" w:hAnsi="Cambria"/>
          <w:color w:val="212121"/>
          <w:sz w:val="20"/>
          <w:szCs w:val="26"/>
        </w:rPr>
        <w:t>15. </w:t>
      </w:r>
      <w:r w:rsidRPr="00ED1166">
        <w:rPr>
          <w:rStyle w:val="element-citation"/>
          <w:rFonts w:ascii="Cambria" w:hAnsi="Cambria"/>
          <w:color w:val="212121"/>
          <w:sz w:val="20"/>
          <w:szCs w:val="26"/>
        </w:rPr>
        <w:t>Bartlett J. Chile's “immunity passport” will allow recovered coronavirus patients to break free from lockdown, get back to work. </w:t>
      </w:r>
      <w:r w:rsidRPr="00ED1166">
        <w:rPr>
          <w:rStyle w:val="ref-journal"/>
          <w:rFonts w:ascii="Cambria" w:hAnsi="Cambria"/>
          <w:i/>
          <w:iCs/>
          <w:color w:val="212121"/>
          <w:sz w:val="20"/>
          <w:szCs w:val="26"/>
        </w:rPr>
        <w:t>Washington Post. </w:t>
      </w:r>
      <w:r w:rsidRPr="00ED1166">
        <w:rPr>
          <w:rStyle w:val="element-citation"/>
          <w:rFonts w:ascii="Cambria" w:hAnsi="Cambria"/>
          <w:color w:val="212121"/>
          <w:sz w:val="20"/>
          <w:szCs w:val="26"/>
        </w:rPr>
        <w:t>2020 April 20. https://www. washingtonpost.com/world/the_americas/chile-coronavirus- immunity-passport-anti. </w:t>
      </w:r>
      <w:r w:rsidRPr="00ED1166">
        <w:rPr>
          <w:rStyle w:val="nowrap"/>
          <w:rFonts w:ascii="Cambria" w:hAnsi="Cambria"/>
          <w:color w:val="212121"/>
          <w:sz w:val="20"/>
          <w:szCs w:val="26"/>
        </w:rPr>
        <w:t>[</w:t>
      </w:r>
      <w:hyperlink r:id="rId19" w:tgtFrame="_blank" w:history="1">
        <w:r w:rsidRPr="00ED1166">
          <w:rPr>
            <w:rStyle w:val="Hyperlink"/>
            <w:rFonts w:ascii="Cambria" w:hAnsi="Cambria"/>
            <w:color w:val="376FAA"/>
            <w:sz w:val="20"/>
            <w:szCs w:val="26"/>
          </w:rPr>
          <w:t>Google Scholar</w:t>
        </w:r>
      </w:hyperlink>
      <w:r w:rsidRPr="00ED1166">
        <w:rPr>
          <w:rStyle w:val="nowrap"/>
          <w:rFonts w:ascii="Cambria" w:hAnsi="Cambria"/>
          <w:color w:val="212121"/>
          <w:sz w:val="20"/>
          <w:szCs w:val="26"/>
        </w:rPr>
        <w:t>]</w:t>
      </w:r>
    </w:p>
    <w:p w14:paraId="517098DA" w14:textId="77777777" w:rsidR="00E953B9" w:rsidRPr="00E953B9" w:rsidRDefault="00E953B9" w:rsidP="00E953B9">
      <w:pPr>
        <w:rPr>
          <w:sz w:val="22"/>
          <w:szCs w:val="20"/>
        </w:rPr>
      </w:pPr>
    </w:p>
    <w:sectPr w:rsidR="00E953B9" w:rsidRPr="00E953B9" w:rsidSect="00CB02D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B53C6"/>
    <w:multiLevelType w:val="hybridMultilevel"/>
    <w:tmpl w:val="E7F2ABC2"/>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2608336E"/>
    <w:multiLevelType w:val="hybridMultilevel"/>
    <w:tmpl w:val="86EA3B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484CA0"/>
    <w:multiLevelType w:val="hybridMultilevel"/>
    <w:tmpl w:val="97369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4">
    <w:nsid w:val="2EEC602F"/>
    <w:multiLevelType w:val="hybridMultilevel"/>
    <w:tmpl w:val="5ACC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5A344E"/>
    <w:multiLevelType w:val="hybridMultilevel"/>
    <w:tmpl w:val="CF581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455F4D"/>
    <w:multiLevelType w:val="hybridMultilevel"/>
    <w:tmpl w:val="1B5A8C12"/>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674C0BF3"/>
    <w:multiLevelType w:val="hybridMultilevel"/>
    <w:tmpl w:val="51EC48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4A76CB9"/>
    <w:multiLevelType w:val="hybridMultilevel"/>
    <w:tmpl w:val="9594E7EA"/>
    <w:lvl w:ilvl="0" w:tplc="AAA4C3E4">
      <w:start w:val="1"/>
      <w:numFmt w:val="bullet"/>
      <w:lvlText w:val="•"/>
      <w:lvlJc w:val="left"/>
      <w:pPr>
        <w:tabs>
          <w:tab w:val="num" w:pos="720"/>
        </w:tabs>
        <w:ind w:left="720" w:hanging="360"/>
      </w:pPr>
      <w:rPr>
        <w:rFonts w:ascii="Arial" w:hAnsi="Arial" w:hint="default"/>
      </w:rPr>
    </w:lvl>
    <w:lvl w:ilvl="1" w:tplc="9D0C6F54" w:tentative="1">
      <w:start w:val="1"/>
      <w:numFmt w:val="bullet"/>
      <w:lvlText w:val="•"/>
      <w:lvlJc w:val="left"/>
      <w:pPr>
        <w:tabs>
          <w:tab w:val="num" w:pos="1440"/>
        </w:tabs>
        <w:ind w:left="1440" w:hanging="360"/>
      </w:pPr>
      <w:rPr>
        <w:rFonts w:ascii="Arial" w:hAnsi="Arial" w:hint="default"/>
      </w:rPr>
    </w:lvl>
    <w:lvl w:ilvl="2" w:tplc="6742C684" w:tentative="1">
      <w:start w:val="1"/>
      <w:numFmt w:val="bullet"/>
      <w:lvlText w:val="•"/>
      <w:lvlJc w:val="left"/>
      <w:pPr>
        <w:tabs>
          <w:tab w:val="num" w:pos="2160"/>
        </w:tabs>
        <w:ind w:left="2160" w:hanging="360"/>
      </w:pPr>
      <w:rPr>
        <w:rFonts w:ascii="Arial" w:hAnsi="Arial" w:hint="default"/>
      </w:rPr>
    </w:lvl>
    <w:lvl w:ilvl="3" w:tplc="69C4FB5C" w:tentative="1">
      <w:start w:val="1"/>
      <w:numFmt w:val="bullet"/>
      <w:lvlText w:val="•"/>
      <w:lvlJc w:val="left"/>
      <w:pPr>
        <w:tabs>
          <w:tab w:val="num" w:pos="2880"/>
        </w:tabs>
        <w:ind w:left="2880" w:hanging="360"/>
      </w:pPr>
      <w:rPr>
        <w:rFonts w:ascii="Arial" w:hAnsi="Arial" w:hint="default"/>
      </w:rPr>
    </w:lvl>
    <w:lvl w:ilvl="4" w:tplc="B75CC138" w:tentative="1">
      <w:start w:val="1"/>
      <w:numFmt w:val="bullet"/>
      <w:lvlText w:val="•"/>
      <w:lvlJc w:val="left"/>
      <w:pPr>
        <w:tabs>
          <w:tab w:val="num" w:pos="3600"/>
        </w:tabs>
        <w:ind w:left="3600" w:hanging="360"/>
      </w:pPr>
      <w:rPr>
        <w:rFonts w:ascii="Arial" w:hAnsi="Arial" w:hint="default"/>
      </w:rPr>
    </w:lvl>
    <w:lvl w:ilvl="5" w:tplc="3162F300" w:tentative="1">
      <w:start w:val="1"/>
      <w:numFmt w:val="bullet"/>
      <w:lvlText w:val="•"/>
      <w:lvlJc w:val="left"/>
      <w:pPr>
        <w:tabs>
          <w:tab w:val="num" w:pos="4320"/>
        </w:tabs>
        <w:ind w:left="4320" w:hanging="360"/>
      </w:pPr>
      <w:rPr>
        <w:rFonts w:ascii="Arial" w:hAnsi="Arial" w:hint="default"/>
      </w:rPr>
    </w:lvl>
    <w:lvl w:ilvl="6" w:tplc="C67ACDE6" w:tentative="1">
      <w:start w:val="1"/>
      <w:numFmt w:val="bullet"/>
      <w:lvlText w:val="•"/>
      <w:lvlJc w:val="left"/>
      <w:pPr>
        <w:tabs>
          <w:tab w:val="num" w:pos="5040"/>
        </w:tabs>
        <w:ind w:left="5040" w:hanging="360"/>
      </w:pPr>
      <w:rPr>
        <w:rFonts w:ascii="Arial" w:hAnsi="Arial" w:hint="default"/>
      </w:rPr>
    </w:lvl>
    <w:lvl w:ilvl="7" w:tplc="ACACE07E" w:tentative="1">
      <w:start w:val="1"/>
      <w:numFmt w:val="bullet"/>
      <w:lvlText w:val="•"/>
      <w:lvlJc w:val="left"/>
      <w:pPr>
        <w:tabs>
          <w:tab w:val="num" w:pos="5760"/>
        </w:tabs>
        <w:ind w:left="5760" w:hanging="360"/>
      </w:pPr>
      <w:rPr>
        <w:rFonts w:ascii="Arial" w:hAnsi="Arial" w:hint="default"/>
      </w:rPr>
    </w:lvl>
    <w:lvl w:ilvl="8" w:tplc="D2245F80" w:tentative="1">
      <w:start w:val="1"/>
      <w:numFmt w:val="bullet"/>
      <w:lvlText w:val="•"/>
      <w:lvlJc w:val="left"/>
      <w:pPr>
        <w:tabs>
          <w:tab w:val="num" w:pos="6480"/>
        </w:tabs>
        <w:ind w:left="6480" w:hanging="360"/>
      </w:pPr>
      <w:rPr>
        <w:rFonts w:ascii="Arial" w:hAnsi="Arial" w:hint="default"/>
      </w:rPr>
    </w:lvl>
  </w:abstractNum>
  <w:abstractNum w:abstractNumId="9">
    <w:nsid w:val="7D114D2E"/>
    <w:multiLevelType w:val="hybridMultilevel"/>
    <w:tmpl w:val="EEFE3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A40A63"/>
    <w:multiLevelType w:val="hybridMultilevel"/>
    <w:tmpl w:val="3C9C94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8"/>
  </w:num>
  <w:num w:numId="3">
    <w:abstractNumId w:val="5"/>
  </w:num>
  <w:num w:numId="4">
    <w:abstractNumId w:val="2"/>
  </w:num>
  <w:num w:numId="5">
    <w:abstractNumId w:val="9"/>
  </w:num>
  <w:num w:numId="6">
    <w:abstractNumId w:val="4"/>
  </w:num>
  <w:num w:numId="7">
    <w:abstractNumId w:val="6"/>
  </w:num>
  <w:num w:numId="8">
    <w:abstractNumId w:val="1"/>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2D1"/>
    <w:rsid w:val="001718B1"/>
    <w:rsid w:val="00185328"/>
    <w:rsid w:val="00541304"/>
    <w:rsid w:val="006901B2"/>
    <w:rsid w:val="006A5EAD"/>
    <w:rsid w:val="00892CAC"/>
    <w:rsid w:val="008C2E7A"/>
    <w:rsid w:val="00A6790D"/>
    <w:rsid w:val="00A85296"/>
    <w:rsid w:val="00CB02D1"/>
    <w:rsid w:val="00D514A4"/>
    <w:rsid w:val="00E953B9"/>
    <w:rsid w:val="00ED1166"/>
    <w:rsid w:val="00EF2D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90D"/>
    <w:pPr>
      <w:spacing w:before="100" w:beforeAutospacing="1" w:after="100" w:afterAutospacing="1" w:line="240" w:lineRule="auto"/>
      <w:outlineLvl w:val="0"/>
    </w:pPr>
    <w:rPr>
      <w:rFonts w:eastAsia="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3B9"/>
    <w:rPr>
      <w:color w:val="0563C1" w:themeColor="hyperlink"/>
      <w:u w:val="single"/>
    </w:rPr>
  </w:style>
  <w:style w:type="character" w:customStyle="1" w:styleId="UnresolvedMention">
    <w:name w:val="Unresolved Mention"/>
    <w:basedOn w:val="DefaultParagraphFont"/>
    <w:uiPriority w:val="99"/>
    <w:semiHidden/>
    <w:unhideWhenUsed/>
    <w:rsid w:val="00E953B9"/>
    <w:rPr>
      <w:color w:val="605E5C"/>
      <w:shd w:val="clear" w:color="auto" w:fill="E1DFDD"/>
    </w:rPr>
  </w:style>
  <w:style w:type="table" w:styleId="TableGrid">
    <w:name w:val="Table Grid"/>
    <w:basedOn w:val="TableNormal"/>
    <w:uiPriority w:val="39"/>
    <w:rsid w:val="00E953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2E7A"/>
    <w:pPr>
      <w:ind w:left="720"/>
      <w:contextualSpacing/>
    </w:pPr>
  </w:style>
  <w:style w:type="character" w:customStyle="1" w:styleId="Heading1Char">
    <w:name w:val="Heading 1 Char"/>
    <w:basedOn w:val="DefaultParagraphFont"/>
    <w:link w:val="Heading1"/>
    <w:uiPriority w:val="9"/>
    <w:rsid w:val="00A6790D"/>
    <w:rPr>
      <w:rFonts w:eastAsia="Times New Roman" w:cs="Times New Roman"/>
      <w:b/>
      <w:bCs/>
      <w:kern w:val="36"/>
      <w:sz w:val="48"/>
      <w:szCs w:val="48"/>
      <w:lang w:val="en-US"/>
      <w14:ligatures w14:val="none"/>
    </w:rPr>
  </w:style>
  <w:style w:type="character" w:customStyle="1" w:styleId="mixed-citation">
    <w:name w:val="mixed-citation"/>
    <w:basedOn w:val="DefaultParagraphFont"/>
    <w:rsid w:val="00ED1166"/>
  </w:style>
  <w:style w:type="character" w:customStyle="1" w:styleId="element-citation">
    <w:name w:val="element-citation"/>
    <w:basedOn w:val="DefaultParagraphFont"/>
    <w:rsid w:val="00ED1166"/>
  </w:style>
  <w:style w:type="character" w:customStyle="1" w:styleId="ref-journal">
    <w:name w:val="ref-journal"/>
    <w:basedOn w:val="DefaultParagraphFont"/>
    <w:rsid w:val="00ED1166"/>
  </w:style>
  <w:style w:type="character" w:customStyle="1" w:styleId="nowrap">
    <w:name w:val="nowrap"/>
    <w:basedOn w:val="DefaultParagraphFont"/>
    <w:rsid w:val="00ED1166"/>
  </w:style>
  <w:style w:type="character" w:customStyle="1" w:styleId="ref-vol">
    <w:name w:val="ref-vol"/>
    <w:basedOn w:val="DefaultParagraphFont"/>
    <w:rsid w:val="00ED11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90D"/>
    <w:pPr>
      <w:spacing w:before="100" w:beforeAutospacing="1" w:after="100" w:afterAutospacing="1" w:line="240" w:lineRule="auto"/>
      <w:outlineLvl w:val="0"/>
    </w:pPr>
    <w:rPr>
      <w:rFonts w:eastAsia="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3B9"/>
    <w:rPr>
      <w:color w:val="0563C1" w:themeColor="hyperlink"/>
      <w:u w:val="single"/>
    </w:rPr>
  </w:style>
  <w:style w:type="character" w:customStyle="1" w:styleId="UnresolvedMention">
    <w:name w:val="Unresolved Mention"/>
    <w:basedOn w:val="DefaultParagraphFont"/>
    <w:uiPriority w:val="99"/>
    <w:semiHidden/>
    <w:unhideWhenUsed/>
    <w:rsid w:val="00E953B9"/>
    <w:rPr>
      <w:color w:val="605E5C"/>
      <w:shd w:val="clear" w:color="auto" w:fill="E1DFDD"/>
    </w:rPr>
  </w:style>
  <w:style w:type="table" w:styleId="TableGrid">
    <w:name w:val="Table Grid"/>
    <w:basedOn w:val="TableNormal"/>
    <w:uiPriority w:val="39"/>
    <w:rsid w:val="00E953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2E7A"/>
    <w:pPr>
      <w:ind w:left="720"/>
      <w:contextualSpacing/>
    </w:pPr>
  </w:style>
  <w:style w:type="character" w:customStyle="1" w:styleId="Heading1Char">
    <w:name w:val="Heading 1 Char"/>
    <w:basedOn w:val="DefaultParagraphFont"/>
    <w:link w:val="Heading1"/>
    <w:uiPriority w:val="9"/>
    <w:rsid w:val="00A6790D"/>
    <w:rPr>
      <w:rFonts w:eastAsia="Times New Roman" w:cs="Times New Roman"/>
      <w:b/>
      <w:bCs/>
      <w:kern w:val="36"/>
      <w:sz w:val="48"/>
      <w:szCs w:val="48"/>
      <w:lang w:val="en-US"/>
      <w14:ligatures w14:val="none"/>
    </w:rPr>
  </w:style>
  <w:style w:type="character" w:customStyle="1" w:styleId="mixed-citation">
    <w:name w:val="mixed-citation"/>
    <w:basedOn w:val="DefaultParagraphFont"/>
    <w:rsid w:val="00ED1166"/>
  </w:style>
  <w:style w:type="character" w:customStyle="1" w:styleId="element-citation">
    <w:name w:val="element-citation"/>
    <w:basedOn w:val="DefaultParagraphFont"/>
    <w:rsid w:val="00ED1166"/>
  </w:style>
  <w:style w:type="character" w:customStyle="1" w:styleId="ref-journal">
    <w:name w:val="ref-journal"/>
    <w:basedOn w:val="DefaultParagraphFont"/>
    <w:rsid w:val="00ED1166"/>
  </w:style>
  <w:style w:type="character" w:customStyle="1" w:styleId="nowrap">
    <w:name w:val="nowrap"/>
    <w:basedOn w:val="DefaultParagraphFont"/>
    <w:rsid w:val="00ED1166"/>
  </w:style>
  <w:style w:type="character" w:customStyle="1" w:styleId="ref-vol">
    <w:name w:val="ref-vol"/>
    <w:basedOn w:val="DefaultParagraphFont"/>
    <w:rsid w:val="00ED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4101">
      <w:bodyDiv w:val="1"/>
      <w:marLeft w:val="0"/>
      <w:marRight w:val="0"/>
      <w:marTop w:val="0"/>
      <w:marBottom w:val="0"/>
      <w:divBdr>
        <w:top w:val="none" w:sz="0" w:space="0" w:color="auto"/>
        <w:left w:val="none" w:sz="0" w:space="0" w:color="auto"/>
        <w:bottom w:val="none" w:sz="0" w:space="0" w:color="auto"/>
        <w:right w:val="none" w:sz="0" w:space="0" w:color="auto"/>
      </w:divBdr>
      <w:divsChild>
        <w:div w:id="626476171">
          <w:marLeft w:val="360"/>
          <w:marRight w:val="0"/>
          <w:marTop w:val="200"/>
          <w:marBottom w:val="0"/>
          <w:divBdr>
            <w:top w:val="none" w:sz="0" w:space="0" w:color="auto"/>
            <w:left w:val="none" w:sz="0" w:space="0" w:color="auto"/>
            <w:bottom w:val="none" w:sz="0" w:space="0" w:color="auto"/>
            <w:right w:val="none" w:sz="0" w:space="0" w:color="auto"/>
          </w:divBdr>
        </w:div>
        <w:div w:id="1451781298">
          <w:marLeft w:val="360"/>
          <w:marRight w:val="0"/>
          <w:marTop w:val="200"/>
          <w:marBottom w:val="0"/>
          <w:divBdr>
            <w:top w:val="none" w:sz="0" w:space="0" w:color="auto"/>
            <w:left w:val="none" w:sz="0" w:space="0" w:color="auto"/>
            <w:bottom w:val="none" w:sz="0" w:space="0" w:color="auto"/>
            <w:right w:val="none" w:sz="0" w:space="0" w:color="auto"/>
          </w:divBdr>
        </w:div>
      </w:divsChild>
    </w:div>
    <w:div w:id="227956469">
      <w:bodyDiv w:val="1"/>
      <w:marLeft w:val="0"/>
      <w:marRight w:val="0"/>
      <w:marTop w:val="0"/>
      <w:marBottom w:val="0"/>
      <w:divBdr>
        <w:top w:val="none" w:sz="0" w:space="0" w:color="auto"/>
        <w:left w:val="none" w:sz="0" w:space="0" w:color="auto"/>
        <w:bottom w:val="none" w:sz="0" w:space="0" w:color="auto"/>
        <w:right w:val="none" w:sz="0" w:space="0" w:color="auto"/>
      </w:divBdr>
    </w:div>
    <w:div w:id="344669362">
      <w:bodyDiv w:val="1"/>
      <w:marLeft w:val="0"/>
      <w:marRight w:val="0"/>
      <w:marTop w:val="0"/>
      <w:marBottom w:val="0"/>
      <w:divBdr>
        <w:top w:val="none" w:sz="0" w:space="0" w:color="auto"/>
        <w:left w:val="none" w:sz="0" w:space="0" w:color="auto"/>
        <w:bottom w:val="none" w:sz="0" w:space="0" w:color="auto"/>
        <w:right w:val="none" w:sz="0" w:space="0" w:color="auto"/>
      </w:divBdr>
    </w:div>
    <w:div w:id="459882772">
      <w:bodyDiv w:val="1"/>
      <w:marLeft w:val="0"/>
      <w:marRight w:val="0"/>
      <w:marTop w:val="0"/>
      <w:marBottom w:val="0"/>
      <w:divBdr>
        <w:top w:val="none" w:sz="0" w:space="0" w:color="auto"/>
        <w:left w:val="none" w:sz="0" w:space="0" w:color="auto"/>
        <w:bottom w:val="none" w:sz="0" w:space="0" w:color="auto"/>
        <w:right w:val="none" w:sz="0" w:space="0" w:color="auto"/>
      </w:divBdr>
      <w:divsChild>
        <w:div w:id="133908961">
          <w:marLeft w:val="360"/>
          <w:marRight w:val="0"/>
          <w:marTop w:val="200"/>
          <w:marBottom w:val="0"/>
          <w:divBdr>
            <w:top w:val="none" w:sz="0" w:space="0" w:color="auto"/>
            <w:left w:val="none" w:sz="0" w:space="0" w:color="auto"/>
            <w:bottom w:val="none" w:sz="0" w:space="0" w:color="auto"/>
            <w:right w:val="none" w:sz="0" w:space="0" w:color="auto"/>
          </w:divBdr>
        </w:div>
        <w:div w:id="2096127761">
          <w:marLeft w:val="360"/>
          <w:marRight w:val="0"/>
          <w:marTop w:val="200"/>
          <w:marBottom w:val="0"/>
          <w:divBdr>
            <w:top w:val="none" w:sz="0" w:space="0" w:color="auto"/>
            <w:left w:val="none" w:sz="0" w:space="0" w:color="auto"/>
            <w:bottom w:val="none" w:sz="0" w:space="0" w:color="auto"/>
            <w:right w:val="none" w:sz="0" w:space="0" w:color="auto"/>
          </w:divBdr>
        </w:div>
        <w:div w:id="512960462">
          <w:marLeft w:val="360"/>
          <w:marRight w:val="0"/>
          <w:marTop w:val="200"/>
          <w:marBottom w:val="0"/>
          <w:divBdr>
            <w:top w:val="none" w:sz="0" w:space="0" w:color="auto"/>
            <w:left w:val="none" w:sz="0" w:space="0" w:color="auto"/>
            <w:bottom w:val="none" w:sz="0" w:space="0" w:color="auto"/>
            <w:right w:val="none" w:sz="0" w:space="0" w:color="auto"/>
          </w:divBdr>
        </w:div>
      </w:divsChild>
    </w:div>
    <w:div w:id="914389308">
      <w:bodyDiv w:val="1"/>
      <w:marLeft w:val="0"/>
      <w:marRight w:val="0"/>
      <w:marTop w:val="0"/>
      <w:marBottom w:val="0"/>
      <w:divBdr>
        <w:top w:val="none" w:sz="0" w:space="0" w:color="auto"/>
        <w:left w:val="none" w:sz="0" w:space="0" w:color="auto"/>
        <w:bottom w:val="none" w:sz="0" w:space="0" w:color="auto"/>
        <w:right w:val="none" w:sz="0" w:space="0" w:color="auto"/>
      </w:divBdr>
    </w:div>
    <w:div w:id="1162551313">
      <w:bodyDiv w:val="1"/>
      <w:marLeft w:val="0"/>
      <w:marRight w:val="0"/>
      <w:marTop w:val="0"/>
      <w:marBottom w:val="0"/>
      <w:divBdr>
        <w:top w:val="none" w:sz="0" w:space="0" w:color="auto"/>
        <w:left w:val="none" w:sz="0" w:space="0" w:color="auto"/>
        <w:bottom w:val="none" w:sz="0" w:space="0" w:color="auto"/>
        <w:right w:val="none" w:sz="0" w:space="0" w:color="auto"/>
      </w:divBdr>
      <w:divsChild>
        <w:div w:id="2112964472">
          <w:marLeft w:val="0"/>
          <w:marRight w:val="0"/>
          <w:marTop w:val="200"/>
          <w:marBottom w:val="200"/>
          <w:divBdr>
            <w:top w:val="none" w:sz="0" w:space="0" w:color="auto"/>
            <w:left w:val="none" w:sz="0" w:space="0" w:color="auto"/>
            <w:bottom w:val="none" w:sz="0" w:space="0" w:color="auto"/>
            <w:right w:val="none" w:sz="0" w:space="0" w:color="auto"/>
          </w:divBdr>
        </w:div>
        <w:div w:id="1415470332">
          <w:marLeft w:val="0"/>
          <w:marRight w:val="0"/>
          <w:marTop w:val="200"/>
          <w:marBottom w:val="200"/>
          <w:divBdr>
            <w:top w:val="none" w:sz="0" w:space="0" w:color="auto"/>
            <w:left w:val="none" w:sz="0" w:space="0" w:color="auto"/>
            <w:bottom w:val="none" w:sz="0" w:space="0" w:color="auto"/>
            <w:right w:val="none" w:sz="0" w:space="0" w:color="auto"/>
          </w:divBdr>
        </w:div>
        <w:div w:id="1239250995">
          <w:marLeft w:val="0"/>
          <w:marRight w:val="0"/>
          <w:marTop w:val="200"/>
          <w:marBottom w:val="200"/>
          <w:divBdr>
            <w:top w:val="none" w:sz="0" w:space="0" w:color="auto"/>
            <w:left w:val="none" w:sz="0" w:space="0" w:color="auto"/>
            <w:bottom w:val="none" w:sz="0" w:space="0" w:color="auto"/>
            <w:right w:val="none" w:sz="0" w:space="0" w:color="auto"/>
          </w:divBdr>
        </w:div>
        <w:div w:id="1949770899">
          <w:marLeft w:val="0"/>
          <w:marRight w:val="0"/>
          <w:marTop w:val="200"/>
          <w:marBottom w:val="200"/>
          <w:divBdr>
            <w:top w:val="none" w:sz="0" w:space="0" w:color="auto"/>
            <w:left w:val="none" w:sz="0" w:space="0" w:color="auto"/>
            <w:bottom w:val="none" w:sz="0" w:space="0" w:color="auto"/>
            <w:right w:val="none" w:sz="0" w:space="0" w:color="auto"/>
          </w:divBdr>
        </w:div>
        <w:div w:id="631981022">
          <w:marLeft w:val="0"/>
          <w:marRight w:val="0"/>
          <w:marTop w:val="200"/>
          <w:marBottom w:val="200"/>
          <w:divBdr>
            <w:top w:val="none" w:sz="0" w:space="0" w:color="auto"/>
            <w:left w:val="none" w:sz="0" w:space="0" w:color="auto"/>
            <w:bottom w:val="none" w:sz="0" w:space="0" w:color="auto"/>
            <w:right w:val="none" w:sz="0" w:space="0" w:color="auto"/>
          </w:divBdr>
        </w:div>
        <w:div w:id="1013340688">
          <w:marLeft w:val="0"/>
          <w:marRight w:val="0"/>
          <w:marTop w:val="200"/>
          <w:marBottom w:val="200"/>
          <w:divBdr>
            <w:top w:val="none" w:sz="0" w:space="0" w:color="auto"/>
            <w:left w:val="none" w:sz="0" w:space="0" w:color="auto"/>
            <w:bottom w:val="none" w:sz="0" w:space="0" w:color="auto"/>
            <w:right w:val="none" w:sz="0" w:space="0" w:color="auto"/>
          </w:divBdr>
        </w:div>
        <w:div w:id="1012949667">
          <w:marLeft w:val="0"/>
          <w:marRight w:val="0"/>
          <w:marTop w:val="200"/>
          <w:marBottom w:val="200"/>
          <w:divBdr>
            <w:top w:val="none" w:sz="0" w:space="0" w:color="auto"/>
            <w:left w:val="none" w:sz="0" w:space="0" w:color="auto"/>
            <w:bottom w:val="none" w:sz="0" w:space="0" w:color="auto"/>
            <w:right w:val="none" w:sz="0" w:space="0" w:color="auto"/>
          </w:divBdr>
        </w:div>
        <w:div w:id="705178732">
          <w:marLeft w:val="0"/>
          <w:marRight w:val="0"/>
          <w:marTop w:val="200"/>
          <w:marBottom w:val="200"/>
          <w:divBdr>
            <w:top w:val="none" w:sz="0" w:space="0" w:color="auto"/>
            <w:left w:val="none" w:sz="0" w:space="0" w:color="auto"/>
            <w:bottom w:val="none" w:sz="0" w:space="0" w:color="auto"/>
            <w:right w:val="none" w:sz="0" w:space="0" w:color="auto"/>
          </w:divBdr>
        </w:div>
        <w:div w:id="1374430350">
          <w:marLeft w:val="0"/>
          <w:marRight w:val="0"/>
          <w:marTop w:val="200"/>
          <w:marBottom w:val="200"/>
          <w:divBdr>
            <w:top w:val="none" w:sz="0" w:space="0" w:color="auto"/>
            <w:left w:val="none" w:sz="0" w:space="0" w:color="auto"/>
            <w:bottom w:val="none" w:sz="0" w:space="0" w:color="auto"/>
            <w:right w:val="none" w:sz="0" w:space="0" w:color="auto"/>
          </w:divBdr>
        </w:div>
        <w:div w:id="2021733236">
          <w:marLeft w:val="0"/>
          <w:marRight w:val="0"/>
          <w:marTop w:val="200"/>
          <w:marBottom w:val="200"/>
          <w:divBdr>
            <w:top w:val="none" w:sz="0" w:space="0" w:color="auto"/>
            <w:left w:val="none" w:sz="0" w:space="0" w:color="auto"/>
            <w:bottom w:val="none" w:sz="0" w:space="0" w:color="auto"/>
            <w:right w:val="none" w:sz="0" w:space="0" w:color="auto"/>
          </w:divBdr>
        </w:div>
        <w:div w:id="313722648">
          <w:marLeft w:val="0"/>
          <w:marRight w:val="0"/>
          <w:marTop w:val="200"/>
          <w:marBottom w:val="200"/>
          <w:divBdr>
            <w:top w:val="none" w:sz="0" w:space="0" w:color="auto"/>
            <w:left w:val="none" w:sz="0" w:space="0" w:color="auto"/>
            <w:bottom w:val="none" w:sz="0" w:space="0" w:color="auto"/>
            <w:right w:val="none" w:sz="0" w:space="0" w:color="auto"/>
          </w:divBdr>
        </w:div>
        <w:div w:id="467938091">
          <w:marLeft w:val="0"/>
          <w:marRight w:val="0"/>
          <w:marTop w:val="200"/>
          <w:marBottom w:val="200"/>
          <w:divBdr>
            <w:top w:val="none" w:sz="0" w:space="0" w:color="auto"/>
            <w:left w:val="none" w:sz="0" w:space="0" w:color="auto"/>
            <w:bottom w:val="none" w:sz="0" w:space="0" w:color="auto"/>
            <w:right w:val="none" w:sz="0" w:space="0" w:color="auto"/>
          </w:divBdr>
        </w:div>
        <w:div w:id="907879510">
          <w:marLeft w:val="0"/>
          <w:marRight w:val="0"/>
          <w:marTop w:val="200"/>
          <w:marBottom w:val="200"/>
          <w:divBdr>
            <w:top w:val="none" w:sz="0" w:space="0" w:color="auto"/>
            <w:left w:val="none" w:sz="0" w:space="0" w:color="auto"/>
            <w:bottom w:val="none" w:sz="0" w:space="0" w:color="auto"/>
            <w:right w:val="none" w:sz="0" w:space="0" w:color="auto"/>
          </w:divBdr>
        </w:div>
        <w:div w:id="425158018">
          <w:marLeft w:val="0"/>
          <w:marRight w:val="0"/>
          <w:marTop w:val="200"/>
          <w:marBottom w:val="200"/>
          <w:divBdr>
            <w:top w:val="none" w:sz="0" w:space="0" w:color="auto"/>
            <w:left w:val="none" w:sz="0" w:space="0" w:color="auto"/>
            <w:bottom w:val="none" w:sz="0" w:space="0" w:color="auto"/>
            <w:right w:val="none" w:sz="0" w:space="0" w:color="auto"/>
          </w:divBdr>
        </w:div>
        <w:div w:id="1642684438">
          <w:marLeft w:val="0"/>
          <w:marRight w:val="0"/>
          <w:marTop w:val="200"/>
          <w:marBottom w:val="200"/>
          <w:divBdr>
            <w:top w:val="none" w:sz="0" w:space="0" w:color="auto"/>
            <w:left w:val="none" w:sz="0" w:space="0" w:color="auto"/>
            <w:bottom w:val="none" w:sz="0" w:space="0" w:color="auto"/>
            <w:right w:val="none" w:sz="0" w:space="0" w:color="auto"/>
          </w:divBdr>
        </w:div>
      </w:divsChild>
    </w:div>
    <w:div w:id="1277903647">
      <w:bodyDiv w:val="1"/>
      <w:marLeft w:val="0"/>
      <w:marRight w:val="0"/>
      <w:marTop w:val="0"/>
      <w:marBottom w:val="0"/>
      <w:divBdr>
        <w:top w:val="none" w:sz="0" w:space="0" w:color="auto"/>
        <w:left w:val="none" w:sz="0" w:space="0" w:color="auto"/>
        <w:bottom w:val="none" w:sz="0" w:space="0" w:color="auto"/>
        <w:right w:val="none" w:sz="0" w:space="0" w:color="auto"/>
      </w:divBdr>
    </w:div>
    <w:div w:id="1407993995">
      <w:bodyDiv w:val="1"/>
      <w:marLeft w:val="0"/>
      <w:marRight w:val="0"/>
      <w:marTop w:val="0"/>
      <w:marBottom w:val="0"/>
      <w:divBdr>
        <w:top w:val="none" w:sz="0" w:space="0" w:color="auto"/>
        <w:left w:val="none" w:sz="0" w:space="0" w:color="auto"/>
        <w:bottom w:val="none" w:sz="0" w:space="0" w:color="auto"/>
        <w:right w:val="none" w:sz="0" w:space="0" w:color="auto"/>
      </w:divBdr>
    </w:div>
    <w:div w:id="1469593537">
      <w:bodyDiv w:val="1"/>
      <w:marLeft w:val="0"/>
      <w:marRight w:val="0"/>
      <w:marTop w:val="0"/>
      <w:marBottom w:val="0"/>
      <w:divBdr>
        <w:top w:val="none" w:sz="0" w:space="0" w:color="auto"/>
        <w:left w:val="none" w:sz="0" w:space="0" w:color="auto"/>
        <w:bottom w:val="none" w:sz="0" w:space="0" w:color="auto"/>
        <w:right w:val="none" w:sz="0" w:space="0" w:color="auto"/>
      </w:divBdr>
    </w:div>
    <w:div w:id="1957560583">
      <w:bodyDiv w:val="1"/>
      <w:marLeft w:val="0"/>
      <w:marRight w:val="0"/>
      <w:marTop w:val="0"/>
      <w:marBottom w:val="0"/>
      <w:divBdr>
        <w:top w:val="none" w:sz="0" w:space="0" w:color="auto"/>
        <w:left w:val="none" w:sz="0" w:space="0" w:color="auto"/>
        <w:bottom w:val="none" w:sz="0" w:space="0" w:color="auto"/>
        <w:right w:val="none" w:sz="0" w:space="0" w:color="auto"/>
      </w:divBdr>
    </w:div>
    <w:div w:id="20563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2840824" TargetMode="External"/><Relationship Id="rId13" Type="http://schemas.openxmlformats.org/officeDocument/2006/relationships/hyperlink" Target="https://scholar.google.com/scholar_lookup?journal=J.+Bus.+Res.&amp;title=Social+networks+in+cultural+industries&amp;author=R.+Gonzalez&amp;author=J.+Llopis&amp;author=J+Gasco&amp;volume=68&amp;publication_year=2015&amp;pages=823-828&amp;" TargetMode="External"/><Relationship Id="rId18" Type="http://schemas.openxmlformats.org/officeDocument/2006/relationships/hyperlink" Target="https://scholar.google.com/scholar_lookup?journal=op.cit&amp;title=Guidebook+on+anti-corruption+in+public+procurement+and+the+management+of+public+finances&amp;publication_year=2013&am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ncbi.nlm.nih.gov/pmc/articles/PMC7445692/" TargetMode="External"/><Relationship Id="rId12" Type="http://schemas.openxmlformats.org/officeDocument/2006/relationships/hyperlink" Target="https://scholar.google.com/scholar_lookup?journal=Acad.+Manag.+J.&amp;title=Big+data+and+management&amp;author=G.+George&amp;author=M.R.+Haas&amp;author=A.+Pentland&amp;volume=57&amp;publication_year=2014&amp;pages=321-326&amp;" TargetMode="External"/><Relationship Id="rId17" Type="http://schemas.openxmlformats.org/officeDocument/2006/relationships/hyperlink" Target="https://scholar.google.com/scholar_lookup?journal=Global+Health+Action&amp;title=Promoting+anti-corruption,+transparency+and+accountability+to+achieve+universal+health+coverage&amp;author=T.+Koller&amp;author=D.+Clarke&amp;author=T.+Vian&amp;volume=13&amp;publication_year=2020&amp;" TargetMode="External"/><Relationship Id="rId2" Type="http://schemas.openxmlformats.org/officeDocument/2006/relationships/numbering" Target="numbering.xml"/><Relationship Id="rId16" Type="http://schemas.openxmlformats.org/officeDocument/2006/relationships/hyperlink" Target="https://pubmed.ncbi.nlm.nih.gov/321940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olar.google.com/scholar_lookup?journal=Tour.+Manag.&amp;title=Using+Social+NetworkAnalysis+to+ExplainCommunication+Characteristics+ofTravel-Related+Electronic+Word-of+Mouth+on+Social+Networking+Sites&amp;author=Q.+Luo&amp;author=D.+Zhong&amp;volume=46&amp;publication_year=2015&amp;pages=274-282&amp;" TargetMode="External"/><Relationship Id="rId5" Type="http://schemas.openxmlformats.org/officeDocument/2006/relationships/settings" Target="settings.xml"/><Relationship Id="rId15" Type="http://schemas.openxmlformats.org/officeDocument/2006/relationships/hyperlink" Target="https://www.ncbi.nlm.nih.gov/pmc/articles/PMC7170364/" TargetMode="External"/><Relationship Id="rId10" Type="http://schemas.openxmlformats.org/officeDocument/2006/relationships/hyperlink" Target="https://scholar.google.com/scholar_lookup?journal=Commun.+Res.&amp;title=A+dependency+model+of+mass-media+effects&amp;author=S.J.+Ball-Rokeach&amp;author=M.L+DeFleur&amp;volume=3&amp;publication_year=1976&amp;pages=3-21&amp;" TargetMode="External"/><Relationship Id="rId19" Type="http://schemas.openxmlformats.org/officeDocument/2006/relationships/hyperlink" Target="https://scholar.google.com/scholar_lookup?journal=Washington+Post&amp;title=Chile%27s+%E2%80%9Cimmunity+passport%E2%80%9D+will+allow+recovered+coronavirus+patients+to+break+free+from+lockdown,+get+back+to+work&amp;author=J.+Bartlett&amp;publication_year=2020&amp;" TargetMode="External"/><Relationship Id="rId4" Type="http://schemas.microsoft.com/office/2007/relationships/stylesWithEffects" Target="stylesWithEffects.xml"/><Relationship Id="rId9" Type="http://schemas.openxmlformats.org/officeDocument/2006/relationships/hyperlink" Target="https://scholar.google.com/scholar_lookup?journal=J+Bioeth+Inq&amp;title=Antibodies+as+Currency:+COVID-19%E2%80%99s+Golden+Passport&amp;author=KA.+Bramstedt&amp;publication_year=2020&amp;" TargetMode="External"/><Relationship Id="rId14" Type="http://schemas.openxmlformats.org/officeDocument/2006/relationships/hyperlink" Target="https://scholar.google.com/scholar_lookup?journal=centers+for+disease+control+and+prevention&amp;title=Interim+updated+planning+guidance+on+allocating+and+targeting+pandemic+Inf+luenza+vaccine+during+an+influenza+pandemic&amp;publication_year=2018&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51F4D-C1A6-44D5-805C-DD7C0019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dc:creator>
  <cp:keywords/>
  <dc:description/>
  <cp:lastModifiedBy>lakshmanan</cp:lastModifiedBy>
  <cp:revision>6</cp:revision>
  <cp:lastPrinted>2023-09-26T13:08:00Z</cp:lastPrinted>
  <dcterms:created xsi:type="dcterms:W3CDTF">2023-09-26T12:09:00Z</dcterms:created>
  <dcterms:modified xsi:type="dcterms:W3CDTF">2023-09-27T07:27:00Z</dcterms:modified>
</cp:coreProperties>
</file>