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r>
        <w:t xml:space="preserve"/>
      </w:r>
    </w:p>
    <w:p>
      <w:pPr>
        <w:jc w:val="center"/>
      </w:pPr>
      <w:r>
        <w:rPr>
          <w:b/>
          <w:bCs/>
          <w:color w:val="5C3A21"/>
          <w:sz w:val="52"/>
          <w:szCs w:val="52"/>
        </w:rPr>
        <w:t xml:space="preserve">COFFEE SHOP SALES</w:t>
      </w:r>
    </w:p>
    <w:p>
      <w:pPr>
        <w:spacing w:after="300"/>
        <w:jc w:val="center"/>
      </w:pPr>
      <w:r>
        <w:rPr>
          <w:b/>
          <w:bCs/>
          <w:color w:val="B5651D"/>
          <w:sz w:val="34"/>
          <w:szCs w:val="34"/>
        </w:rPr>
        <w:t xml:space="preserve">Business Insights &amp; Action Report</w:t>
      </w:r>
    </w:p>
    <w:p>
      <w:pPr>
        <w:spacing w:after="100"/>
        <w:jc w:val="center"/>
      </w:pPr>
      <w:r>
        <w:rPr>
          <w:color w:val="6B6B6B"/>
          <w:sz w:val="24"/>
          <w:szCs w:val="24"/>
        </w:rPr>
        <w:t xml:space="preserve">Analysis Period: Jan 1 – Jun 19, 2023</w:t>
      </w:r>
    </w:p>
    <w:p>
      <w:pPr>
        <w:spacing w:after="100"/>
        <w:jc w:val="center"/>
      </w:pPr>
      <w:r>
        <w:rPr>
          <w:color w:val="6B6B6B"/>
          <w:sz w:val="24"/>
          <w:szCs w:val="24"/>
        </w:rPr>
        <w:t xml:space="preserve">Locations: Astoria · Hell's Kitchen · Lower Manhattan</w:t>
      </w:r>
    </w:p>
    <w:p>
      <w:pPr>
        <w:spacing w:after="1200"/>
        <w:jc w:val="center"/>
      </w:pPr>
      <w:r>
        <w:rPr>
          <w:i/>
          <w:iCs/>
          <w:color w:val="6B6B6B"/>
          <w:sz w:val="22"/>
          <w:szCs w:val="22"/>
        </w:rPr>
        <w:t xml:space="preserve">Prepared from EDA, hypothesis testing, and star-schema sales data</w:t>
      </w:r>
    </w:p>
    <w:p>
      <w:r>
        <w:br w:type="page"/>
      </w:r>
    </w:p>
    <w:p>
      <w:pPr>
        <w:pStyle w:val="Heading1"/>
        <w:spacing w:after="150" w:before="300"/>
      </w:pPr>
      <w:r>
        <w:t xml:space="preserve">Executive Summary</w:t>
      </w:r>
    </w:p>
    <w:p>
      <w:pPr>
        <w:spacing w:after="150"/>
      </w:pPr>
      <w:r>
        <w:rPr>
          <w:sz w:val="22"/>
          <w:szCs w:val="22"/>
        </w:rPr>
        <w:t xml:space="preserve">This report summarizes the key business questions explored during the sales dashboard project, the statistically validated insights behind each answer, and the recommended actions. Every insight below was tested using appropriate statistical methods (Mann-Whitney U, Kruskal-Wallis, Dunn's post-hoc, and Chi-square tests) rather than inferred from charts alone, and each is labeled by both statistical and practical significance.</w:t>
      </w:r>
    </w:p>
    <w:p>
      <w:pPr>
        <w:spacing w:after="150"/>
      </w:pPr>
      <w:r>
        <w:rPr>
          <w:sz w:val="22"/>
          <w:szCs w:val="22"/>
        </w:rPr>
        <w:t xml:space="preserve">Two findings stand out as genuinely actionable: (1) Lower Manhattan shows a distinct larger-basket-size customer behavior despite similar total revenue to other stores, and (2) revenue is driven overwhelmingly by transaction volume in the Morning window rather than by higher spending per visit. The remaining tested factors — weekday vs weekend, holiday effect, and menu structure — were either statistically negligible or simply confirmed expected patterns.</w:t>
      </w:r>
    </w:p>
    <w:p>
      <w:pPr>
        <w:spacing w:after="100" w:before="200"/>
      </w:pPr>
      <w:r>
        <w:rPr>
          <w:b/>
          <w:bCs/>
          <w:color w:val="5C3A21"/>
          <w:sz w:val="24"/>
          <w:szCs w:val="24"/>
        </w:rPr>
        <w:t xml:space="preserve">At a Glance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4500"/>
        <w:gridCol w:w="2800"/>
        <w:gridCol w:w="2700"/>
      </w:tblGrid>
      <w:tr>
        <w:tc>
          <w:tcPr>
            <w:tcW w:type="dxa" w:w="2500"/>
            <w:shd w:fill="5C3A21" w:val="clear"/>
            <w:tcMar>
              <w:top w:type="dxa" w:w="100"/>
              <w:left w:type="dxa" w:w="120"/>
              <w:bottom w:type="dxa" w:w="100"/>
              <w:right w:type="dxa" w:w="120"/>
            </w:tcMar>
          </w:tcPr>
          <w:p>
            <w:r>
              <w:rPr>
                <w:b/>
                <w:bCs/>
                <w:color w:val="FFFFFF"/>
                <w:sz w:val="20"/>
                <w:szCs w:val="20"/>
              </w:rPr>
              <w:t xml:space="preserve">Finding</w:t>
            </w:r>
          </w:p>
        </w:tc>
        <w:tc>
          <w:tcPr>
            <w:tcW w:type="dxa" w:w="2500"/>
            <w:shd w:fill="5C3A21" w:val="clear"/>
            <w:tcMar>
              <w:top w:type="dxa" w:w="100"/>
              <w:left w:type="dxa" w:w="120"/>
              <w:bottom w:type="dxa" w:w="100"/>
              <w:right w:type="dxa" w:w="120"/>
            </w:tcMar>
          </w:tcPr>
          <w:p>
            <w:r>
              <w:rPr>
                <w:b/>
                <w:bCs/>
                <w:color w:val="FFFFFF"/>
                <w:sz w:val="20"/>
                <w:szCs w:val="20"/>
              </w:rPr>
              <w:t xml:space="preserve">Statistically Significant?</w:t>
            </w:r>
          </w:p>
        </w:tc>
        <w:tc>
          <w:tcPr>
            <w:tcW w:type="dxa" w:w="2500"/>
            <w:shd w:fill="5C3A21" w:val="clear"/>
            <w:tcMar>
              <w:top w:type="dxa" w:w="100"/>
              <w:left w:type="dxa" w:w="120"/>
              <w:bottom w:type="dxa" w:w="100"/>
              <w:right w:type="dxa" w:w="120"/>
            </w:tcMar>
          </w:tcPr>
          <w:p>
            <w:r>
              <w:rPr>
                <w:b/>
                <w:bCs/>
                <w:color w:val="FFFFFF"/>
                <w:sz w:val="20"/>
                <w:szCs w:val="20"/>
              </w:rPr>
              <w:t xml:space="preserve">Practically Meaningful?</w:t>
            </w:r>
          </w:p>
        </w:tc>
      </w:tr>
      <w:tr>
        <w:tc>
          <w:tcPr>
            <w:tcW w:type="dxa" w:w="2500"/>
            <w:tcMar>
              <w:top w:type="dxa" w:w="100"/>
              <w:left w:type="dxa" w:w="120"/>
              <w:bottom w:type="dxa" w:w="100"/>
              <w:right w:type="dxa" w:w="120"/>
            </w:tcMar>
          </w:tcPr>
          <w:p>
            <w:r>
              <w:rPr>
                <w:color w:val="000000"/>
                <w:sz w:val="20"/>
                <w:szCs w:val="20"/>
              </w:rPr>
              <w:t xml:space="preserve">Weekend vs weekday spending</w:t>
            </w:r>
          </w:p>
        </w:tc>
        <w:tc>
          <w:tcPr>
            <w:tcW w:type="dxa" w:w="2500"/>
            <w:tcMar>
              <w:top w:type="dxa" w:w="100"/>
              <w:left w:type="dxa" w:w="120"/>
              <w:bottom w:type="dxa" w:w="100"/>
              <w:right w:type="dxa" w:w="120"/>
            </w:tcMar>
          </w:tcPr>
          <w:p>
            <w:r>
              <w:rPr>
                <w:color w:val="000000"/>
                <w:sz w:val="20"/>
                <w:szCs w:val="20"/>
              </w:rPr>
              <w:t xml:space="preserve">No</w:t>
            </w:r>
          </w:p>
        </w:tc>
        <w:tc>
          <w:tcPr>
            <w:tcW w:type="dxa" w:w="2500"/>
            <w:tcMar>
              <w:top w:type="dxa" w:w="100"/>
              <w:left w:type="dxa" w:w="120"/>
              <w:bottom w:type="dxa" w:w="100"/>
              <w:right w:type="dxa" w:w="120"/>
            </w:tcMar>
          </w:tcPr>
          <w:p>
            <w:r>
              <w:rPr>
                <w:color w:val="000000"/>
                <w:sz w:val="20"/>
                <w:szCs w:val="20"/>
              </w:rPr>
              <w:t xml:space="preserve">—</w:t>
            </w:r>
          </w:p>
        </w:tc>
      </w:tr>
      <w:tr>
        <w:tc>
          <w:tcPr>
            <w:tcW w:type="dxa" w:w="2500"/>
            <w:tcMar>
              <w:top w:type="dxa" w:w="100"/>
              <w:left w:type="dxa" w:w="120"/>
              <w:bottom w:type="dxa" w:w="100"/>
              <w:right w:type="dxa" w:w="120"/>
            </w:tcMar>
          </w:tcPr>
          <w:p>
            <w:r>
              <w:rPr>
                <w:color w:val="000000"/>
                <w:sz w:val="20"/>
                <w:szCs w:val="20"/>
              </w:rPr>
              <w:t xml:space="preserve">Store spending distributions differ</w:t>
            </w:r>
          </w:p>
        </w:tc>
        <w:tc>
          <w:tcPr>
            <w:tcW w:type="dxa" w:w="2500"/>
            <w:tcMar>
              <w:top w:type="dxa" w:w="100"/>
              <w:left w:type="dxa" w:w="120"/>
              <w:bottom w:type="dxa" w:w="100"/>
              <w:right w:type="dxa" w:w="120"/>
            </w:tcMar>
          </w:tcPr>
          <w:p>
            <w:r>
              <w:rPr>
                <w:color w:val="000000"/>
                <w:sz w:val="20"/>
                <w:szCs w:val="20"/>
              </w:rPr>
              <w:t xml:space="preserve">Yes</w:t>
            </w:r>
          </w:p>
        </w:tc>
        <w:tc>
          <w:tcPr>
            <w:tcW w:type="dxa" w:w="2500"/>
            <w:tcMar>
              <w:top w:type="dxa" w:w="100"/>
              <w:left w:type="dxa" w:w="120"/>
              <w:bottom w:type="dxa" w:w="100"/>
              <w:right w:type="dxa" w:w="120"/>
            </w:tcMar>
          </w:tcPr>
          <w:p>
            <w:r>
              <w:rPr>
                <w:color w:val="000000"/>
                <w:sz w:val="20"/>
                <w:szCs w:val="20"/>
              </w:rPr>
              <w:t xml:space="preserve">Yes — basket size</w:t>
            </w:r>
          </w:p>
        </w:tc>
      </w:tr>
      <w:tr>
        <w:tc>
          <w:tcPr>
            <w:tcW w:type="dxa" w:w="2500"/>
            <w:tcMar>
              <w:top w:type="dxa" w:w="100"/>
              <w:left w:type="dxa" w:w="120"/>
              <w:bottom w:type="dxa" w:w="100"/>
              <w:right w:type="dxa" w:w="120"/>
            </w:tcMar>
          </w:tcPr>
          <w:p>
            <w:r>
              <w:rPr>
                <w:color w:val="000000"/>
                <w:sz w:val="20"/>
                <w:szCs w:val="20"/>
              </w:rPr>
              <w:t xml:space="preserve">Holiday vs non-holiday spending</w:t>
            </w:r>
          </w:p>
        </w:tc>
        <w:tc>
          <w:tcPr>
            <w:tcW w:type="dxa" w:w="2500"/>
            <w:tcMar>
              <w:top w:type="dxa" w:w="100"/>
              <w:left w:type="dxa" w:w="120"/>
              <w:bottom w:type="dxa" w:w="100"/>
              <w:right w:type="dxa" w:w="120"/>
            </w:tcMar>
          </w:tcPr>
          <w:p>
            <w:r>
              <w:rPr>
                <w:color w:val="000000"/>
                <w:sz w:val="20"/>
                <w:szCs w:val="20"/>
              </w:rPr>
              <w:t xml:space="preserve">Yes</w:t>
            </w:r>
          </w:p>
        </w:tc>
        <w:tc>
          <w:tcPr>
            <w:tcW w:type="dxa" w:w="2500"/>
            <w:tcMar>
              <w:top w:type="dxa" w:w="100"/>
              <w:left w:type="dxa" w:w="120"/>
              <w:bottom w:type="dxa" w:w="100"/>
              <w:right w:type="dxa" w:w="120"/>
            </w:tcMar>
          </w:tcPr>
          <w:p>
            <w:r>
              <w:rPr>
                <w:color w:val="000000"/>
                <w:sz w:val="20"/>
                <w:szCs w:val="20"/>
              </w:rPr>
              <w:t xml:space="preserve">No — ~$0.15 diff</w:t>
            </w:r>
          </w:p>
        </w:tc>
      </w:tr>
      <w:tr>
        <w:tc>
          <w:tcPr>
            <w:tcW w:type="dxa" w:w="2500"/>
            <w:tcMar>
              <w:top w:type="dxa" w:w="100"/>
              <w:left w:type="dxa" w:w="120"/>
              <w:bottom w:type="dxa" w:w="100"/>
              <w:right w:type="dxa" w:w="120"/>
            </w:tcMar>
          </w:tcPr>
          <w:p>
            <w:r>
              <w:rPr>
                <w:color w:val="000000"/>
                <w:sz w:val="20"/>
                <w:szCs w:val="20"/>
              </w:rPr>
              <w:t xml:space="preserve">Time-of-day spending behavior</w:t>
            </w:r>
          </w:p>
        </w:tc>
        <w:tc>
          <w:tcPr>
            <w:tcW w:type="dxa" w:w="2500"/>
            <w:tcMar>
              <w:top w:type="dxa" w:w="100"/>
              <w:left w:type="dxa" w:w="120"/>
              <w:bottom w:type="dxa" w:w="100"/>
              <w:right w:type="dxa" w:w="120"/>
            </w:tcMar>
          </w:tcPr>
          <w:p>
            <w:r>
              <w:rPr>
                <w:color w:val="000000"/>
                <w:sz w:val="20"/>
                <w:szCs w:val="20"/>
              </w:rPr>
              <w:t xml:space="preserve">No</w:t>
            </w:r>
          </w:p>
        </w:tc>
        <w:tc>
          <w:tcPr>
            <w:tcW w:type="dxa" w:w="2500"/>
            <w:tcMar>
              <w:top w:type="dxa" w:w="100"/>
              <w:left w:type="dxa" w:w="120"/>
              <w:bottom w:type="dxa" w:w="100"/>
              <w:right w:type="dxa" w:w="120"/>
            </w:tcMar>
          </w:tcPr>
          <w:p>
            <w:r>
              <w:rPr>
                <w:color w:val="000000"/>
                <w:sz w:val="20"/>
                <w:szCs w:val="20"/>
              </w:rPr>
              <w:t xml:space="preserve">— (but volume varies hugely)</w:t>
            </w:r>
          </w:p>
        </w:tc>
      </w:tr>
      <w:tr>
        <w:tc>
          <w:tcPr>
            <w:tcW w:type="dxa" w:w="2500"/>
            <w:tcMar>
              <w:top w:type="dxa" w:w="100"/>
              <w:left w:type="dxa" w:w="120"/>
              <w:bottom w:type="dxa" w:w="100"/>
              <w:right w:type="dxa" w:w="120"/>
            </w:tcMar>
          </w:tcPr>
          <w:p>
            <w:r>
              <w:rPr>
                <w:color w:val="000000"/>
                <w:sz w:val="20"/>
                <w:szCs w:val="20"/>
              </w:rPr>
              <w:t xml:space="preserve">Category × size association</w:t>
            </w:r>
          </w:p>
        </w:tc>
        <w:tc>
          <w:tcPr>
            <w:tcW w:type="dxa" w:w="2500"/>
            <w:tcMar>
              <w:top w:type="dxa" w:w="100"/>
              <w:left w:type="dxa" w:w="120"/>
              <w:bottom w:type="dxa" w:w="100"/>
              <w:right w:type="dxa" w:w="120"/>
            </w:tcMar>
          </w:tcPr>
          <w:p>
            <w:r>
              <w:rPr>
                <w:color w:val="000000"/>
                <w:sz w:val="20"/>
                <w:szCs w:val="20"/>
              </w:rPr>
              <w:t xml:space="preserve">Yes</w:t>
            </w:r>
          </w:p>
        </w:tc>
        <w:tc>
          <w:tcPr>
            <w:tcW w:type="dxa" w:w="2500"/>
            <w:tcMar>
              <w:top w:type="dxa" w:w="100"/>
              <w:left w:type="dxa" w:w="120"/>
              <w:bottom w:type="dxa" w:w="100"/>
              <w:right w:type="dxa" w:w="120"/>
            </w:tcMar>
          </w:tcPr>
          <w:p>
            <w:r>
              <w:rPr>
                <w:color w:val="000000"/>
                <w:sz w:val="20"/>
                <w:szCs w:val="20"/>
              </w:rPr>
              <w:t xml:space="preserve">No — menu structure</w:t>
            </w:r>
          </w:p>
        </w:tc>
      </w:tr>
      <w:tr>
        <w:tc>
          <w:tcPr>
            <w:tcW w:type="dxa" w:w="2500"/>
            <w:tcMar>
              <w:top w:type="dxa" w:w="100"/>
              <w:left w:type="dxa" w:w="120"/>
              <w:bottom w:type="dxa" w:w="100"/>
              <w:right w:type="dxa" w:w="120"/>
            </w:tcMar>
          </w:tcPr>
          <w:p>
            <w:r>
              <w:rPr>
                <w:color w:val="000000"/>
                <w:sz w:val="20"/>
                <w:szCs w:val="20"/>
              </w:rPr>
              <w:t xml:space="preserve">Category × store association</w:t>
            </w:r>
          </w:p>
        </w:tc>
        <w:tc>
          <w:tcPr>
            <w:tcW w:type="dxa" w:w="2500"/>
            <w:tcMar>
              <w:top w:type="dxa" w:w="100"/>
              <w:left w:type="dxa" w:w="120"/>
              <w:bottom w:type="dxa" w:w="100"/>
              <w:right w:type="dxa" w:w="120"/>
            </w:tcMar>
          </w:tcPr>
          <w:p>
            <w:r>
              <w:rPr>
                <w:color w:val="000000"/>
                <w:sz w:val="20"/>
                <w:szCs w:val="20"/>
              </w:rPr>
              <w:t xml:space="preserve">Yes</w:t>
            </w:r>
          </w:p>
        </w:tc>
        <w:tc>
          <w:tcPr>
            <w:tcW w:type="dxa" w:w="2500"/>
            <w:tcMar>
              <w:top w:type="dxa" w:w="100"/>
              <w:left w:type="dxa" w:w="120"/>
              <w:bottom w:type="dxa" w:w="100"/>
              <w:right w:type="dxa" w:w="120"/>
            </w:tcMar>
          </w:tcPr>
          <w:p>
            <w:r>
              <w:rPr>
                <w:color w:val="000000"/>
                <w:sz w:val="20"/>
                <w:szCs w:val="20"/>
              </w:rPr>
              <w:t xml:space="preserve">Modest</w:t>
            </w:r>
          </w:p>
        </w:tc>
      </w:tr>
    </w:tbl>
    <w:p>
      <w:r>
        <w:br w:type="page"/>
      </w:r>
    </w:p>
    <w:p>
      <w:pPr>
        <w:pStyle w:val="Heading1"/>
        <w:spacing w:after="150" w:before="300"/>
      </w:pPr>
      <w:r>
        <w:t xml:space="preserve">Business Questions &amp; Insights</w:t>
      </w:r>
    </w:p>
    <w:p>
      <w:pPr>
        <w:spacing w:after="150"/>
      </w:pPr>
      <w:r>
        <w:rPr>
          <w:sz w:val="22"/>
          <w:szCs w:val="22"/>
        </w:rPr>
        <w:t xml:space="preserve">Each question below reflects a real business decision point. Insights are drawn directly from the hypothesis testing phase of the analysis.</w:t>
      </w:r>
    </w:p>
    <w:p>
      <w:pPr>
        <w:shd w:fill="F4ECE2" w:val="clear"/>
        <w:spacing w:after="100" w:before="260"/>
      </w:pPr>
      <w:r>
        <w:rPr>
          <w:b/>
          <w:bCs/>
          <w:color w:val="B5651D"/>
          <w:sz w:val="24"/>
          <w:szCs w:val="24"/>
        </w:rPr>
        <w:t xml:space="preserve">  Q1. </w:t>
      </w:r>
      <w:r>
        <w:rPr>
          <w:b/>
          <w:bCs/>
          <w:color w:val="5C3A21"/>
          <w:sz w:val="24"/>
          <w:szCs w:val="24"/>
        </w:rPr>
        <w:t xml:space="preserve">Should we run weekend-specific promotions to boost sales?</w:t>
      </w:r>
    </w:p>
    <w:p>
      <w:pPr>
        <w:spacing w:after="80"/>
      </w:pPr>
      <w:r>
        <w:rPr>
          <w:b/>
          <w:bCs/>
          <w:color w:val="5C3A21"/>
          <w:sz w:val="21"/>
          <w:szCs w:val="21"/>
        </w:rPr>
        <w:t xml:space="preserve">Insight:  </w:t>
      </w:r>
      <w:r>
        <w:rPr>
          <w:color w:val="000000"/>
          <w:sz w:val="21"/>
          <w:szCs w:val="21"/>
        </w:rPr>
        <w:t xml:space="preserve">No — customer spending behavior is statistically the same on weekends and weekdays. This is not a weekend-driven business.</w:t>
      </w:r>
    </w:p>
    <w:p>
      <w:pPr>
        <w:spacing w:after="80"/>
      </w:pPr>
      <w:r>
        <w:rPr>
          <w:b/>
          <w:bCs/>
          <w:color w:val="5C3A21"/>
          <w:sz w:val="21"/>
          <w:szCs w:val="21"/>
        </w:rPr>
        <w:t xml:space="preserve">Evidence:  </w:t>
      </w:r>
      <w:r>
        <w:rPr>
          <w:color w:val="6B6B6B"/>
          <w:sz w:val="21"/>
          <w:szCs w:val="21"/>
        </w:rPr>
        <w:t xml:space="preserve">Mann-Whitney U test: p = 0.532 (weekend vs weekday total_amount). Cross-checked with a Welch's t-test (p = 0.743) — both agree.</w:t>
      </w:r>
    </w:p>
    <w:p>
      <w:pPr>
        <w:spacing w:after="80"/>
      </w:pPr>
      <w:r>
        <w:rPr>
          <w:b/>
          <w:bCs/>
          <w:color w:val="5C3A21"/>
          <w:sz w:val="21"/>
          <w:szCs w:val="21"/>
        </w:rPr>
        <w:t xml:space="preserve">Action Item:  </w:t>
      </w:r>
      <w:r>
        <w:rPr>
          <w:color w:val="000000"/>
          <w:sz w:val="21"/>
          <w:szCs w:val="21"/>
        </w:rPr>
        <w:t xml:space="preserve">Do not prioritize weekend-specific promotions based on spending differences. If weekend traffic is a goal, target volume (foot traffic), not basket size, since per-visit spend won't change.</w:t>
      </w:r>
    </w:p>
    <w:p>
      <w:pPr>
        <w:spacing w:after="120"/>
      </w:pPr>
      <w:r>
        <w:rPr>
          <w:b/>
          <w:bCs/>
          <w:color w:val="5C3A21"/>
          <w:sz w:val="20"/>
          <w:szCs w:val="20"/>
        </w:rPr>
        <w:t xml:space="preserve">Status:  </w:t>
      </w:r>
      <w:r>
        <w:rPr>
          <w:b/>
          <w:bCs/>
          <w:color w:val="6B6B6B"/>
          <w:sz w:val="20"/>
          <w:szCs w:val="20"/>
        </w:rPr>
        <w:t xml:space="preserve">No action needed — deprioritize</w:t>
      </w:r>
    </w:p>
    <w:p>
      <w:pPr>
        <w:pBdr>
          <w:bottom w:val="single" w:color="CBB89D" w:sz="6" w:space="1"/>
        </w:pBdr>
        <w:spacing w:after="200" w:before="100"/>
      </w:pPr>
      <w:r>
        <w:t xml:space="preserve"/>
      </w:r>
    </w:p>
    <w:p>
      <w:pPr>
        <w:shd w:fill="F4ECE2" w:val="clear"/>
        <w:spacing w:after="100" w:before="260"/>
      </w:pPr>
      <w:r>
        <w:rPr>
          <w:b/>
          <w:bCs/>
          <w:color w:val="B5651D"/>
          <w:sz w:val="24"/>
          <w:szCs w:val="24"/>
        </w:rPr>
        <w:t xml:space="preserve">  Q2. </w:t>
      </w:r>
      <w:r>
        <w:rPr>
          <w:b/>
          <w:bCs/>
          <w:color w:val="5C3A21"/>
          <w:sz w:val="24"/>
          <w:szCs w:val="24"/>
        </w:rPr>
        <w:t xml:space="preserve">Are all three stores performing the same, or does one need attention?</w:t>
      </w:r>
    </w:p>
    <w:p>
      <w:pPr>
        <w:spacing w:after="80"/>
      </w:pPr>
      <w:r>
        <w:rPr>
          <w:b/>
          <w:bCs/>
          <w:color w:val="5C3A21"/>
          <w:sz w:val="21"/>
          <w:szCs w:val="21"/>
        </w:rPr>
        <w:t xml:space="preserve">Insight:  </w:t>
      </w:r>
      <w:r>
        <w:rPr>
          <w:color w:val="000000"/>
          <w:sz w:val="21"/>
          <w:szCs w:val="21"/>
        </w:rPr>
        <w:t xml:space="preserve">Total revenue is similar across all three stores, but Lower Manhattan customers buy more items per visit (1.50 avg vs ~1.40 at the other two stores) despite having fewer total transactions. Unit pricing is nearly identical everywhere, so this is a genuine behavioral difference, not a pricing effect.</w:t>
      </w:r>
    </w:p>
    <w:p>
      <w:pPr>
        <w:spacing w:after="80"/>
      </w:pPr>
      <w:r>
        <w:rPr>
          <w:b/>
          <w:bCs/>
          <w:color w:val="5C3A21"/>
          <w:sz w:val="21"/>
          <w:szCs w:val="21"/>
        </w:rPr>
        <w:t xml:space="preserve">Evidence:  </w:t>
      </w:r>
      <w:r>
        <w:rPr>
          <w:color w:val="6B6B6B"/>
          <w:sz w:val="21"/>
          <w:szCs w:val="21"/>
        </w:rPr>
        <w:t xml:space="preserve">Kruskal-Wallis: H = 73.36, p &lt; 0.0001. Dunn's post-hoc (Bonferroni): Lower Manhattan differs significantly from both Astoria (p = 1.4e-11) and Hell's Kitchen (p = 8.9e-15); Astoria vs Hell's Kitchen not significant (p = 0.97).</w:t>
      </w:r>
    </w:p>
    <w:p>
      <w:pPr>
        <w:spacing w:after="80"/>
      </w:pPr>
      <w:r>
        <w:rPr>
          <w:b/>
          <w:bCs/>
          <w:color w:val="5C3A21"/>
          <w:sz w:val="21"/>
          <w:szCs w:val="21"/>
        </w:rPr>
        <w:t xml:space="preserve">Action Item:  </w:t>
      </w:r>
      <w:r>
        <w:rPr>
          <w:color w:val="000000"/>
          <w:sz w:val="21"/>
          <w:szCs w:val="21"/>
        </w:rPr>
        <w:t xml:space="preserve">Study what drives larger baskets at Lower Manhattan (e.g., bundling, staff upsell habits, customer type) and test replicating it at Astoria and Hell's Kitchen to grow revenue without needing more foot traffic.</w:t>
      </w:r>
    </w:p>
    <w:p>
      <w:pPr>
        <w:spacing w:after="120"/>
      </w:pPr>
      <w:r>
        <w:rPr>
          <w:b/>
          <w:bCs/>
          <w:color w:val="5C3A21"/>
          <w:sz w:val="20"/>
          <w:szCs w:val="20"/>
        </w:rPr>
        <w:t xml:space="preserve">Status:  </w:t>
      </w:r>
      <w:r>
        <w:rPr>
          <w:b/>
          <w:bCs/>
          <w:color w:val="2E7D32"/>
          <w:sz w:val="20"/>
          <w:szCs w:val="20"/>
        </w:rPr>
        <w:t xml:space="preserve">Actionable — investigate &amp; replicate</w:t>
      </w:r>
    </w:p>
    <w:p>
      <w:pPr>
        <w:pBdr>
          <w:bottom w:val="single" w:color="CBB89D" w:sz="6" w:space="1"/>
        </w:pBdr>
        <w:spacing w:after="200" w:before="100"/>
      </w:pPr>
      <w:r>
        <w:t xml:space="preserve"/>
      </w:r>
    </w:p>
    <w:p>
      <w:pPr>
        <w:shd w:fill="F4ECE2" w:val="clear"/>
        <w:spacing w:after="100" w:before="260"/>
      </w:pPr>
      <w:r>
        <w:rPr>
          <w:b/>
          <w:bCs/>
          <w:color w:val="B5651D"/>
          <w:sz w:val="24"/>
          <w:szCs w:val="24"/>
        </w:rPr>
        <w:t xml:space="preserve">  Q3. </w:t>
      </w:r>
      <w:r>
        <w:rPr>
          <w:b/>
          <w:bCs/>
          <w:color w:val="5C3A21"/>
          <w:sz w:val="24"/>
          <w:szCs w:val="24"/>
        </w:rPr>
        <w:t xml:space="preserve">Do holidays justify special promotions or staffing changes?</w:t>
      </w:r>
    </w:p>
    <w:p>
      <w:pPr>
        <w:spacing w:after="80"/>
      </w:pPr>
      <w:r>
        <w:rPr>
          <w:b/>
          <w:bCs/>
          <w:color w:val="5C3A21"/>
          <w:sz w:val="21"/>
          <w:szCs w:val="21"/>
        </w:rPr>
        <w:t xml:space="preserve">Insight:  </w:t>
      </w:r>
      <w:r>
        <w:rPr>
          <w:color w:val="000000"/>
          <w:sz w:val="21"/>
          <w:szCs w:val="21"/>
        </w:rPr>
        <w:t xml:space="preserve">Statistically detectable, but practically negligible. Average spend is only about $0.15 lower on holidays ($4.54 vs $4.69), and the median transaction value is identical ($3.75) on both holiday and non-holiday days.</w:t>
      </w:r>
    </w:p>
    <w:p>
      <w:pPr>
        <w:spacing w:after="80"/>
      </w:pPr>
      <w:r>
        <w:rPr>
          <w:b/>
          <w:bCs/>
          <w:color w:val="5C3A21"/>
          <w:sz w:val="21"/>
          <w:szCs w:val="21"/>
        </w:rPr>
        <w:t xml:space="preserve">Evidence:  </w:t>
      </w:r>
      <w:r>
        <w:rPr>
          <w:color w:val="6B6B6B"/>
          <w:sz w:val="21"/>
          <w:szCs w:val="21"/>
        </w:rPr>
        <w:t xml:space="preserve">Mann-Whitney U: p = 0.00023. Descriptive: non-holiday mean $4.69 (n=144,496) vs holiday mean $4.54 (n=4,620); median $3.75 for both groups. Significant only due to large sample size, not a real business effect.</w:t>
      </w:r>
    </w:p>
    <w:p>
      <w:pPr>
        <w:spacing w:after="80"/>
      </w:pPr>
      <w:r>
        <w:rPr>
          <w:b/>
          <w:bCs/>
          <w:color w:val="5C3A21"/>
          <w:sz w:val="21"/>
          <w:szCs w:val="21"/>
        </w:rPr>
        <w:t xml:space="preserve">Action Item:  </w:t>
      </w:r>
      <w:r>
        <w:rPr>
          <w:color w:val="000000"/>
          <w:sz w:val="21"/>
          <w:szCs w:val="21"/>
        </w:rPr>
        <w:t xml:space="preserve">Do not build a holiday promotion strategy around this finding. If holiday staffing changes are being considered, base them on foot traffic/volume data, not spend-per-visit.</w:t>
      </w:r>
    </w:p>
    <w:p>
      <w:pPr>
        <w:spacing w:after="120"/>
      </w:pPr>
      <w:r>
        <w:rPr>
          <w:b/>
          <w:bCs/>
          <w:color w:val="5C3A21"/>
          <w:sz w:val="20"/>
          <w:szCs w:val="20"/>
        </w:rPr>
        <w:t xml:space="preserve">Status:  </w:t>
      </w:r>
      <w:r>
        <w:rPr>
          <w:b/>
          <w:bCs/>
          <w:color w:val="6B6B6B"/>
          <w:sz w:val="20"/>
          <w:szCs w:val="20"/>
        </w:rPr>
        <w:t xml:space="preserve">No action needed — footnote only</w:t>
      </w:r>
    </w:p>
    <w:p>
      <w:pPr>
        <w:pBdr>
          <w:bottom w:val="single" w:color="CBB89D" w:sz="6" w:space="1"/>
        </w:pBdr>
        <w:spacing w:after="200" w:before="100"/>
      </w:pPr>
      <w:r>
        <w:t xml:space="preserve"/>
      </w:r>
    </w:p>
    <w:p>
      <w:pPr>
        <w:shd w:fill="F4ECE2" w:val="clear"/>
        <w:spacing w:after="100" w:before="260"/>
      </w:pPr>
      <w:r>
        <w:rPr>
          <w:b/>
          <w:bCs/>
          <w:color w:val="B5651D"/>
          <w:sz w:val="24"/>
          <w:szCs w:val="24"/>
        </w:rPr>
        <w:t xml:space="preserve">  Q4. </w:t>
      </w:r>
      <w:r>
        <w:rPr>
          <w:b/>
          <w:bCs/>
          <w:color w:val="5C3A21"/>
          <w:sz w:val="24"/>
          <w:szCs w:val="24"/>
        </w:rPr>
        <w:t xml:space="preserve">When during the day should we focus marketing or staffing efforts?</w:t>
      </w:r>
    </w:p>
    <w:p>
      <w:pPr>
        <w:spacing w:after="80"/>
      </w:pPr>
      <w:r>
        <w:rPr>
          <w:b/>
          <w:bCs/>
          <w:color w:val="5C3A21"/>
          <w:sz w:val="21"/>
          <w:szCs w:val="21"/>
        </w:rPr>
        <w:t xml:space="preserve">Insight:  </w:t>
      </w:r>
      <w:r>
        <w:rPr>
          <w:color w:val="000000"/>
          <w:sz w:val="21"/>
          <w:szCs w:val="21"/>
        </w:rPr>
        <w:t xml:space="preserve">Morning drives the most revenue (~$410K) purely through transaction volume (85,865 transactions) — nearly 6x Evening and 19x Dawn/Early Morning. Per-transaction spending is statistically flat across all times of day, so the opportunity in slower periods is about drawing more customers in, not increasing what they spend once there.</w:t>
      </w:r>
    </w:p>
    <w:p>
      <w:pPr>
        <w:spacing w:after="80"/>
      </w:pPr>
      <w:r>
        <w:rPr>
          <w:b/>
          <w:bCs/>
          <w:color w:val="5C3A21"/>
          <w:sz w:val="21"/>
          <w:szCs w:val="21"/>
        </w:rPr>
        <w:t xml:space="preserve">Evidence:  </w:t>
      </w:r>
      <w:r>
        <w:rPr>
          <w:color w:val="6B6B6B"/>
          <w:sz w:val="21"/>
          <w:szCs w:val="21"/>
        </w:rPr>
        <w:t xml:space="preserve">Kruskal-Wallis on total_amount by hour_bin: H = 2.59, p = 0.459 (not significant). Transaction counts: Morning 85,865, Afternoon 44,464, Evening 14,193, Dawn/Early Morning 4,594.</w:t>
      </w:r>
    </w:p>
    <w:p>
      <w:pPr>
        <w:spacing w:after="80"/>
      </w:pPr>
      <w:r>
        <w:rPr>
          <w:b/>
          <w:bCs/>
          <w:color w:val="5C3A21"/>
          <w:sz w:val="21"/>
          <w:szCs w:val="21"/>
        </w:rPr>
        <w:t xml:space="preserve">Action Item:  </w:t>
      </w:r>
      <w:r>
        <w:rPr>
          <w:color w:val="000000"/>
          <w:sz w:val="21"/>
          <w:szCs w:val="21"/>
        </w:rPr>
        <w:t xml:space="preserve">Focus Afternoon/Evening/Dawn growth efforts on driving traffic (promotions, visibility, menu pushes) rather than upselling, since basket value is already consistent throughout the day.</w:t>
      </w:r>
    </w:p>
    <w:p>
      <w:pPr>
        <w:spacing w:after="120"/>
      </w:pPr>
      <w:r>
        <w:rPr>
          <w:b/>
          <w:bCs/>
          <w:color w:val="5C3A21"/>
          <w:sz w:val="20"/>
          <w:szCs w:val="20"/>
        </w:rPr>
        <w:t xml:space="preserve">Status:  </w:t>
      </w:r>
      <w:r>
        <w:rPr>
          <w:b/>
          <w:bCs/>
          <w:color w:val="2E7D32"/>
          <w:sz w:val="20"/>
          <w:szCs w:val="20"/>
        </w:rPr>
        <w:t xml:space="preserve">Actionable — target volume, not spend</w:t>
      </w:r>
    </w:p>
    <w:p>
      <w:pPr>
        <w:pBdr>
          <w:bottom w:val="single" w:color="CBB89D" w:sz="6" w:space="1"/>
        </w:pBdr>
        <w:spacing w:after="200" w:before="100"/>
      </w:pPr>
      <w:r>
        <w:t xml:space="preserve"/>
      </w:r>
    </w:p>
    <w:p>
      <w:pPr>
        <w:shd w:fill="F4ECE2" w:val="clear"/>
        <w:spacing w:after="100" w:before="260"/>
      </w:pPr>
      <w:r>
        <w:rPr>
          <w:b/>
          <w:bCs/>
          <w:color w:val="B5651D"/>
          <w:sz w:val="24"/>
          <w:szCs w:val="24"/>
        </w:rPr>
        <w:t xml:space="preserve">  Q5. </w:t>
      </w:r>
      <w:r>
        <w:rPr>
          <w:b/>
          <w:bCs/>
          <w:color w:val="5C3A21"/>
          <w:sz w:val="24"/>
          <w:szCs w:val="24"/>
        </w:rPr>
        <w:t xml:space="preserve">Does the size (Small/Regular/Large) attribute apply across the whole menu?</w:t>
      </w:r>
    </w:p>
    <w:p>
      <w:pPr>
        <w:spacing w:after="80"/>
      </w:pPr>
      <w:r>
        <w:rPr>
          <w:b/>
          <w:bCs/>
          <w:color w:val="5C3A21"/>
          <w:sz w:val="21"/>
          <w:szCs w:val="21"/>
        </w:rPr>
        <w:t xml:space="preserve">Insight:  </w:t>
      </w:r>
      <w:r>
        <w:rPr>
          <w:color w:val="000000"/>
          <w:sz w:val="21"/>
          <w:szCs w:val="21"/>
        </w:rPr>
        <w:t xml:space="preserve">No — size is only meaningful for Coffee, Tea, and Drinking Chocolate. Bakery, Branded, Coffee Beans, Flavours, Loose Tea, and Packaged Chocolate are sold without size variants by nature of the product.</w:t>
      </w:r>
    </w:p>
    <w:p>
      <w:pPr>
        <w:spacing w:after="80"/>
      </w:pPr>
      <w:r>
        <w:rPr>
          <w:b/>
          <w:bCs/>
          <w:color w:val="5C3A21"/>
          <w:sz w:val="21"/>
          <w:szCs w:val="21"/>
        </w:rPr>
        <w:t xml:space="preserve">Evidence:  </w:t>
      </w:r>
      <w:r>
        <w:rPr>
          <w:color w:val="6B6B6B"/>
          <w:sz w:val="21"/>
          <w:szCs w:val="21"/>
        </w:rPr>
        <w:t xml:space="preserve">Chi-square: χ² = 131,938.6, p &lt; 0.0001. Crosstab confirms 100% "No Size Variant" for non-drink categories.</w:t>
      </w:r>
    </w:p>
    <w:p>
      <w:pPr>
        <w:spacing w:after="80"/>
      </w:pPr>
      <w:r>
        <w:rPr>
          <w:b/>
          <w:bCs/>
          <w:color w:val="5C3A21"/>
          <w:sz w:val="21"/>
          <w:szCs w:val="21"/>
        </w:rPr>
        <w:t xml:space="preserve">Action Item:  </w:t>
      </w:r>
      <w:r>
        <w:rPr>
          <w:color w:val="000000"/>
          <w:sz w:val="21"/>
          <w:szCs w:val="21"/>
        </w:rPr>
        <w:t xml:space="preserve">When building any size-based report or dashboard filter, scope it to Coffee, Tea, and Drinking Chocolate only — including other categories will make "No Size Variant" dominate and obscure the real pattern.</w:t>
      </w:r>
    </w:p>
    <w:p>
      <w:pPr>
        <w:spacing w:after="120"/>
      </w:pPr>
      <w:r>
        <w:rPr>
          <w:b/>
          <w:bCs/>
          <w:color w:val="5C3A21"/>
          <w:sz w:val="20"/>
          <w:szCs w:val="20"/>
        </w:rPr>
        <w:t xml:space="preserve">Status:  </w:t>
      </w:r>
      <w:r>
        <w:rPr>
          <w:b/>
          <w:bCs/>
          <w:color w:val="B5651D"/>
          <w:sz w:val="20"/>
          <w:szCs w:val="20"/>
        </w:rPr>
        <w:t xml:space="preserve">Data handling note — apply filter</w:t>
      </w:r>
    </w:p>
    <w:p>
      <w:pPr>
        <w:pBdr>
          <w:bottom w:val="single" w:color="CBB89D" w:sz="6" w:space="1"/>
        </w:pBdr>
        <w:spacing w:after="200" w:before="100"/>
      </w:pPr>
      <w:r>
        <w:t xml:space="preserve"/>
      </w:r>
    </w:p>
    <w:p>
      <w:pPr>
        <w:shd w:fill="F4ECE2" w:val="clear"/>
        <w:spacing w:after="100" w:before="260"/>
      </w:pPr>
      <w:r>
        <w:rPr>
          <w:b/>
          <w:bCs/>
          <w:color w:val="B5651D"/>
          <w:sz w:val="24"/>
          <w:szCs w:val="24"/>
        </w:rPr>
        <w:t xml:space="preserve">  Q6. </w:t>
      </w:r>
      <w:r>
        <w:rPr>
          <w:b/>
          <w:bCs/>
          <w:color w:val="5C3A21"/>
          <w:sz w:val="24"/>
          <w:szCs w:val="24"/>
        </w:rPr>
        <w:t xml:space="preserve">Should each store carry a different product mix?</w:t>
      </w:r>
    </w:p>
    <w:p>
      <w:pPr>
        <w:spacing w:after="80"/>
      </w:pPr>
      <w:r>
        <w:rPr>
          <w:b/>
          <w:bCs/>
          <w:color w:val="5C3A21"/>
          <w:sz w:val="21"/>
          <w:szCs w:val="21"/>
        </w:rPr>
        <w:t xml:space="preserve">Insight:  </w:t>
      </w:r>
      <w:r>
        <w:rPr>
          <w:color w:val="000000"/>
          <w:sz w:val="21"/>
          <w:szCs w:val="21"/>
        </w:rPr>
        <w:t xml:space="preserve">Not strongly warranted. Core category rank order (Coffee &gt; Tea &gt; Bakery &gt; Drinking Chocolate...) is consistent across all three stores. Lower Manhattan shows a modest lean toward Bakery and Flavours, consistent with its larger basket-size pattern (likely add-on purchases alongside drinks).</w:t>
      </w:r>
    </w:p>
    <w:p>
      <w:pPr>
        <w:spacing w:after="80"/>
      </w:pPr>
      <w:r>
        <w:rPr>
          <w:b/>
          <w:bCs/>
          <w:color w:val="5C3A21"/>
          <w:sz w:val="21"/>
          <w:szCs w:val="21"/>
        </w:rPr>
        <w:t xml:space="preserve">Evidence:  </w:t>
      </w:r>
      <w:r>
        <w:rPr>
          <w:color w:val="6B6B6B"/>
          <w:sz w:val="21"/>
          <w:szCs w:val="21"/>
        </w:rPr>
        <w:t xml:space="preserve">Chi-square: χ² = 1,009.9, p &lt; 0.0001, but proportional differences between stores are small (e.g., Bakery share 14.4%–16.5% across stores).</w:t>
      </w:r>
    </w:p>
    <w:p>
      <w:pPr>
        <w:spacing w:after="80"/>
      </w:pPr>
      <w:r>
        <w:rPr>
          <w:b/>
          <w:bCs/>
          <w:color w:val="5C3A21"/>
          <w:sz w:val="21"/>
          <w:szCs w:val="21"/>
        </w:rPr>
        <w:t xml:space="preserve">Action Item:  </w:t>
      </w:r>
      <w:r>
        <w:rPr>
          <w:color w:val="000000"/>
          <w:sz w:val="21"/>
          <w:szCs w:val="21"/>
        </w:rPr>
        <w:t xml:space="preserve">No need for store-specific menus. Optionally test whether promoting Bakery/Flavours add-ons at Astoria and Hell's Kitchen lifts their basket size toward Lower Manhattan's level.</w:t>
      </w:r>
    </w:p>
    <w:p>
      <w:pPr>
        <w:spacing w:after="120"/>
      </w:pPr>
      <w:r>
        <w:rPr>
          <w:b/>
          <w:bCs/>
          <w:color w:val="5C3A21"/>
          <w:sz w:val="20"/>
          <w:szCs w:val="20"/>
        </w:rPr>
        <w:t xml:space="preserve">Status:  </w:t>
      </w:r>
      <w:r>
        <w:rPr>
          <w:b/>
          <w:bCs/>
          <w:color w:val="6B6B6B"/>
          <w:sz w:val="20"/>
          <w:szCs w:val="20"/>
        </w:rPr>
        <w:t xml:space="preserve">Minor — optional test</w:t>
      </w:r>
    </w:p>
    <w:p>
      <w:pPr>
        <w:pBdr>
          <w:bottom w:val="single" w:color="CBB89D" w:sz="6" w:space="1"/>
        </w:pBdr>
        <w:spacing w:after="200" w:before="100"/>
      </w:pPr>
      <w:r>
        <w:t xml:space="preserve"/>
      </w:r>
    </w:p>
    <w:p>
      <w:r>
        <w:br w:type="page"/>
      </w:r>
    </w:p>
    <w:p>
      <w:pPr>
        <w:pStyle w:val="Heading1"/>
        <w:spacing w:after="150" w:before="300"/>
      </w:pPr>
      <w:r>
        <w:t xml:space="preserve">Data Quality Notes</w:t>
      </w:r>
    </w:p>
    <w:p>
      <w:pPr>
        <w:pStyle w:val="ListParagraph"/>
        <w:numPr>
          <w:ilvl w:val="0"/>
          <w:numId w:val="2"/>
        </w:numPr>
        <w:spacing w:after="60"/>
      </w:pPr>
      <w:r>
        <w:rPr>
          <w:sz w:val="21"/>
          <w:szCs w:val="21"/>
        </w:rPr>
        <w:t xml:space="preserve">The is_holiday flag was originally miscalculated and produced a near-empty holiday group, causing the first holiday test to fail (SmallSampleWarning / NaN results). Fixed using the Python `holidays` library to correctly map real US holidays within the Jan 1 – Jun 19, 2023 date range.</w:t>
      </w:r>
    </w:p>
    <w:p>
      <w:pPr>
        <w:pStyle w:val="ListParagraph"/>
        <w:numPr>
          <w:ilvl w:val="0"/>
          <w:numId w:val="2"/>
        </w:numPr>
        <w:spacing w:after="60"/>
      </w:pPr>
      <w:r>
        <w:rPr>
          <w:sz w:val="21"/>
          <w:szCs w:val="21"/>
        </w:rPr>
        <w:t xml:space="preserve">Hell's Kitchen contains a total_amount outlier as high as $360, well above the typical $2–$10 range, and has a notably higher standard deviation than the other two stores. This has not yet been individually investigated to confirm whether it reflects a legitimate bulk order or a data entry error.</w:t>
      </w:r>
    </w:p>
    <w:p>
      <w:pPr>
        <w:pStyle w:val="ListParagraph"/>
        <w:numPr>
          <w:ilvl w:val="0"/>
          <w:numId w:val="2"/>
        </w:numPr>
        <w:spacing w:after="60"/>
      </w:pPr>
      <w:r>
        <w:rPr>
          <w:sz w:val="21"/>
          <w:szCs w:val="21"/>
        </w:rPr>
        <w:t xml:space="preserve">Approximately 45,000 rows across the dataset show "No Size Variant" for the size attribute — confirmed as expected (non-drink items and sizeless drinks like Cappuccino, Latte, and Espresso shot), not a data extraction error.</w:t>
      </w:r>
    </w:p>
    <w:p>
      <w:pPr>
        <w:pStyle w:val="Heading1"/>
        <w:spacing w:after="150" w:before="300"/>
      </w:pPr>
      <w:r>
        <w:t xml:space="preserve">Recommended Next Steps</w:t>
      </w:r>
    </w:p>
    <w:p>
      <w:pPr>
        <w:pStyle w:val="ListParagraph"/>
        <w:numPr>
          <w:ilvl w:val="0"/>
          <w:numId w:val="2"/>
        </w:numPr>
        <w:spacing w:after="60"/>
      </w:pPr>
      <w:r>
        <w:rPr>
          <w:sz w:val="21"/>
          <w:szCs w:val="21"/>
        </w:rPr>
        <w:t xml:space="preserve">Investigate the Hell's Kitchen total_amount outlier(s) above $100 to confirm data validity.</w:t>
      </w:r>
    </w:p>
    <w:p>
      <w:pPr>
        <w:pStyle w:val="ListParagraph"/>
        <w:numPr>
          <w:ilvl w:val="0"/>
          <w:numId w:val="2"/>
        </w:numPr>
        <w:spacing w:after="60"/>
      </w:pPr>
      <w:r>
        <w:rPr>
          <w:sz w:val="21"/>
          <w:szCs w:val="21"/>
        </w:rPr>
        <w:t xml:space="preserve">Run a controlled test replicating Lower Manhattan's basket-size behavior (e.g., staff prompts, bundling) at the other two stores and measure impact.</w:t>
      </w:r>
    </w:p>
    <w:p>
      <w:pPr>
        <w:pStyle w:val="ListParagraph"/>
        <w:numPr>
          <w:ilvl w:val="0"/>
          <w:numId w:val="2"/>
        </w:numPr>
        <w:spacing w:after="60"/>
      </w:pPr>
      <w:r>
        <w:rPr>
          <w:sz w:val="21"/>
          <w:szCs w:val="21"/>
        </w:rPr>
        <w:t xml:space="preserve">Use the Power BI dashboard's Time &amp; Day Trends page to identify specific low-traffic windows worth targeted promotion.</w:t>
      </w:r>
    </w:p>
    <w:p>
      <w:pPr>
        <w:pStyle w:val="ListParagraph"/>
        <w:numPr>
          <w:ilvl w:val="0"/>
          <w:numId w:val="2"/>
        </w:numPr>
        <w:spacing w:after="60"/>
      </w:pPr>
      <w:r>
        <w:rPr>
          <w:sz w:val="21"/>
          <w:szCs w:val="21"/>
        </w:rPr>
        <w:t xml:space="preserve">Revisit this analysis once more months of data are available — six months may not fully capture seasonal effects (e.g., summer, winter holidays) beyond what was tested here.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2026-07-21T05:35:23.739Z</dcterms:created>
  <dcterms:modified xsi:type="dcterms:W3CDTF">2026-07-21T05:35:23.756Z</dcterms:modified>
</cp:coreProperties>
</file>

<file path=docProps/custom.xml><?xml version="1.0" encoding="utf-8"?>
<Properties xmlns="http://schemas.openxmlformats.org/officeDocument/2006/custom-properties" xmlns:vt="http://schemas.openxmlformats.org/officeDocument/2006/docPropsVTypes"/>
</file>