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1A15E0" w:rsidRPr="001A15E0" w:rsidRDefault="008510EB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r w:rsidR="00045E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E71A2">
        <w:rPr>
          <w:rFonts w:ascii="Times New Roman" w:hAnsi="Times New Roman" w:cs="Times New Roman"/>
          <w:b/>
          <w:bCs/>
          <w:sz w:val="32"/>
          <w:szCs w:val="32"/>
        </w:rPr>
        <w:t>zainteresovanih strana</w:t>
      </w:r>
    </w:p>
    <w:p w:rsidR="001A15E0" w:rsidRPr="001A15E0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A15E0">
        <w:rPr>
          <w:rFonts w:ascii="Times New Roman" w:hAnsi="Times New Roman" w:cs="Times New Roman"/>
          <w:b/>
          <w:bCs/>
          <w:sz w:val="32"/>
          <w:szCs w:val="32"/>
        </w:rPr>
        <w:t xml:space="preserve">Verzija </w:t>
      </w:r>
      <w:r w:rsidR="009B7BC2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="Times New Roman"/>
          <w:b w:val="0"/>
          <w:sz w:val="22"/>
          <w:szCs w:val="22"/>
          <w:lang/>
        </w:rPr>
        <w:id w:val="-1639104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15E0" w:rsidRPr="005A5178" w:rsidRDefault="003C4473" w:rsidP="003C4473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5A5178">
            <w:rPr>
              <w:rFonts w:cs="Times New Roman"/>
            </w:rPr>
            <w:t>Sadržaj</w:t>
          </w:r>
          <w:proofErr w:type="spellEnd"/>
        </w:p>
        <w:p w:rsidR="009B7BC2" w:rsidRDefault="00CC36C5">
          <w:pPr>
            <w:pStyle w:val="TOC1"/>
            <w:rPr>
              <w:noProof/>
              <w:lang w:val="en-US" w:eastAsia="en-US"/>
            </w:rPr>
          </w:pPr>
          <w:r w:rsidRPr="00CC36C5">
            <w:rPr>
              <w:rFonts w:ascii="Times New Roman" w:hAnsi="Times New Roman" w:cs="Times New Roman"/>
            </w:rPr>
            <w:fldChar w:fldCharType="begin"/>
          </w:r>
          <w:r w:rsidR="001A15E0" w:rsidRPr="005A5178">
            <w:rPr>
              <w:rFonts w:ascii="Times New Roman" w:hAnsi="Times New Roman" w:cs="Times New Roman"/>
            </w:rPr>
            <w:instrText xml:space="preserve"> TOC \o "1-3" \h \z \u </w:instrText>
          </w:r>
          <w:r w:rsidRPr="00CC36C5">
            <w:rPr>
              <w:rFonts w:ascii="Times New Roman" w:hAnsi="Times New Roman" w:cs="Times New Roman"/>
            </w:rPr>
            <w:fldChar w:fldCharType="separate"/>
          </w:r>
          <w:hyperlink w:anchor="_Toc72431950" w:history="1">
            <w:r w:rsidR="009B7BC2" w:rsidRPr="00464EF9">
              <w:rPr>
                <w:rStyle w:val="Hyperlink"/>
                <w:noProof/>
              </w:rPr>
              <w:t>1.</w:t>
            </w:r>
            <w:r w:rsidR="009B7BC2">
              <w:rPr>
                <w:noProof/>
                <w:lang w:val="en-US" w:eastAsia="en-US"/>
              </w:rPr>
              <w:tab/>
            </w:r>
            <w:r w:rsidR="009B7BC2" w:rsidRPr="00464EF9">
              <w:rPr>
                <w:rStyle w:val="Hyperlink"/>
                <w:noProof/>
              </w:rPr>
              <w:t>Pregled izmena</w:t>
            </w:r>
            <w:r w:rsidR="009B7BC2">
              <w:rPr>
                <w:noProof/>
                <w:webHidden/>
              </w:rPr>
              <w:tab/>
            </w:r>
            <w:r w:rsidR="009B7BC2">
              <w:rPr>
                <w:noProof/>
                <w:webHidden/>
              </w:rPr>
              <w:fldChar w:fldCharType="begin"/>
            </w:r>
            <w:r w:rsidR="009B7BC2">
              <w:rPr>
                <w:noProof/>
                <w:webHidden/>
              </w:rPr>
              <w:instrText xml:space="preserve"> PAGEREF _Toc72431950 \h </w:instrText>
            </w:r>
            <w:r w:rsidR="009B7BC2">
              <w:rPr>
                <w:noProof/>
                <w:webHidden/>
              </w:rPr>
            </w:r>
            <w:r w:rsidR="009B7BC2">
              <w:rPr>
                <w:noProof/>
                <w:webHidden/>
              </w:rPr>
              <w:fldChar w:fldCharType="separate"/>
            </w:r>
            <w:r w:rsidR="009B7BC2">
              <w:rPr>
                <w:noProof/>
                <w:webHidden/>
              </w:rPr>
              <w:t>3</w:t>
            </w:r>
            <w:r w:rsidR="009B7BC2">
              <w:rPr>
                <w:noProof/>
                <w:webHidden/>
              </w:rPr>
              <w:fldChar w:fldCharType="end"/>
            </w:r>
          </w:hyperlink>
        </w:p>
        <w:p w:rsidR="009B7BC2" w:rsidRDefault="009B7BC2">
          <w:pPr>
            <w:pStyle w:val="TOC1"/>
            <w:rPr>
              <w:noProof/>
              <w:lang w:val="en-US" w:eastAsia="en-US"/>
            </w:rPr>
          </w:pPr>
          <w:hyperlink w:anchor="_Toc72431951" w:history="1">
            <w:r w:rsidRPr="00464EF9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464EF9">
              <w:rPr>
                <w:rStyle w:val="Hyperlink"/>
                <w:noProof/>
              </w:rPr>
              <w:t>Aktivnosti na radu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BC2" w:rsidRDefault="009B7BC2">
          <w:pPr>
            <w:pStyle w:val="TOC1"/>
            <w:rPr>
              <w:noProof/>
              <w:lang w:val="en-US" w:eastAsia="en-US"/>
            </w:rPr>
          </w:pPr>
          <w:hyperlink w:anchor="_Toc72431952" w:history="1">
            <w:r w:rsidRPr="00464EF9">
              <w:rPr>
                <w:rStyle w:val="Hyperlink"/>
                <w:rFonts w:cs="Times New Roman"/>
                <w:noProof/>
                <w:lang w:val="sr-Latn-CS"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464EF9">
              <w:rPr>
                <w:rStyle w:val="Hyperlink"/>
                <w:rFonts w:cs="Times New Roman"/>
                <w:noProof/>
              </w:rPr>
              <w:t xml:space="preserve">Analiza </w:t>
            </w:r>
            <w:r w:rsidRPr="00464EF9">
              <w:rPr>
                <w:rStyle w:val="Hyperlink"/>
                <w:rFonts w:cs="Times New Roman"/>
                <w:noProof/>
                <w:lang w:val="sr-Latn-CS"/>
              </w:rPr>
              <w:t>zainteresovanih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BC2" w:rsidRDefault="009B7BC2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72431953" w:history="1">
            <w:r w:rsidRPr="00464EF9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Svrha i ključni koraci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BC2" w:rsidRDefault="009B7BC2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72431954" w:history="1">
            <w:r w:rsidRPr="00464EF9">
              <w:rPr>
                <w:rStyle w:val="Hyperlink"/>
                <w:rFonts w:ascii="Times New Roman" w:hAnsi="Times New Roman" w:cs="Times New Roman"/>
                <w:noProof/>
              </w:rPr>
              <w:t>Čije probleme ili mogućnosti analiziramo?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BC2" w:rsidRDefault="009B7BC2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72431955" w:history="1">
            <w:r w:rsidRPr="00464EF9">
              <w:rPr>
                <w:rStyle w:val="Hyperlink"/>
                <w:rFonts w:ascii="Times New Roman" w:hAnsi="Times New Roman" w:cs="Times New Roman"/>
                <w:noProof/>
              </w:rPr>
              <w:t>Ko će imati koristi ili štete od predložene projektne intervencije i na koji način?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BC2" w:rsidRDefault="009B7BC2">
          <w:pPr>
            <w:pStyle w:val="TOC1"/>
            <w:rPr>
              <w:noProof/>
              <w:lang w:val="en-US" w:eastAsia="en-US"/>
            </w:rPr>
          </w:pPr>
          <w:hyperlink w:anchor="_Toc72431956" w:history="1">
            <w:r w:rsidRPr="00464EF9">
              <w:rPr>
                <w:rStyle w:val="Hyperlink"/>
                <w:rFonts w:cs="Times New Roman"/>
                <w:noProof/>
                <w:lang w:val="sr-Latn-CS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464EF9">
              <w:rPr>
                <w:rStyle w:val="Hyperlink"/>
                <w:rFonts w:cs="Times New Roman"/>
                <w:noProof/>
                <w:lang w:val="sr-Latn-CS"/>
              </w:rPr>
              <w:t>Matrica analize zainteresovanih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E0" w:rsidRPr="003C4473" w:rsidRDefault="00CC36C5">
          <w:pPr>
            <w:rPr>
              <w:rFonts w:ascii="Times New Roman" w:hAnsi="Times New Roman" w:cs="Times New Roman"/>
            </w:rPr>
          </w:pPr>
          <w:r w:rsidRPr="005A517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72431950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1A15E0" w:rsidRPr="001A15E0" w:rsidTr="005B0EC2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9B7BC2" w:rsidRPr="001A15E0" w:rsidTr="005B0EC2">
        <w:tc>
          <w:tcPr>
            <w:tcW w:w="2304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21.04.2021.</w:t>
            </w:r>
          </w:p>
        </w:tc>
        <w:tc>
          <w:tcPr>
            <w:tcW w:w="1152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>Izgled dokumetna za trello</w:t>
            </w:r>
          </w:p>
        </w:tc>
        <w:tc>
          <w:tcPr>
            <w:tcW w:w="2195" w:type="dxa"/>
          </w:tcPr>
          <w:p w:rsidR="009B7BC2" w:rsidRPr="001A15E0" w:rsidRDefault="009B7BC2" w:rsidP="00A73B2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br/>
              <w:t>Dinela Ganović</w:t>
            </w:r>
          </w:p>
        </w:tc>
      </w:tr>
      <w:tr w:rsidR="009B7BC2" w:rsidRPr="001A15E0" w:rsidTr="005B0EC2">
        <w:tc>
          <w:tcPr>
            <w:tcW w:w="2304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06.05.2021.</w:t>
            </w:r>
          </w:p>
        </w:tc>
        <w:tc>
          <w:tcPr>
            <w:tcW w:w="1152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Izmenjena verzija</w:t>
            </w:r>
          </w:p>
        </w:tc>
        <w:tc>
          <w:tcPr>
            <w:tcW w:w="2195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br/>
            </w:r>
            <w:r w:rsidRPr="009B7BC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Aylin Gusinac</w:t>
            </w:r>
          </w:p>
        </w:tc>
      </w:tr>
      <w:tr w:rsidR="009B7BC2" w:rsidRPr="001A15E0" w:rsidTr="005B0EC2">
        <w:tc>
          <w:tcPr>
            <w:tcW w:w="2304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20.05.2021.</w:t>
            </w:r>
          </w:p>
        </w:tc>
        <w:tc>
          <w:tcPr>
            <w:tcW w:w="1152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9B7BC2" w:rsidRPr="001A15E0" w:rsidRDefault="009B7BC2" w:rsidP="00A73B2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</w:t>
            </w: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  <w:t>ć</w:t>
            </w:r>
          </w:p>
        </w:tc>
      </w:tr>
      <w:tr w:rsidR="009B7BC2" w:rsidRPr="001A15E0" w:rsidTr="005B0EC2">
        <w:tc>
          <w:tcPr>
            <w:tcW w:w="2304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9B7BC2" w:rsidRPr="001A15E0" w:rsidTr="005B0EC2">
        <w:tc>
          <w:tcPr>
            <w:tcW w:w="2304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598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195" w:type="dxa"/>
          </w:tcPr>
          <w:p w:rsidR="009B7BC2" w:rsidRPr="001A15E0" w:rsidRDefault="009B7BC2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:rsidR="001A15E0" w:rsidRDefault="001A15E0" w:rsidP="001A15E0"/>
    <w:p w:rsidR="009B7BC2" w:rsidRDefault="009B7BC2" w:rsidP="009B7BC2">
      <w:pPr>
        <w:pStyle w:val="Heading1"/>
        <w:numPr>
          <w:ilvl w:val="0"/>
          <w:numId w:val="1"/>
        </w:numPr>
        <w:jc w:val="center"/>
      </w:pPr>
      <w:bookmarkStart w:id="1" w:name="_Toc69942721"/>
      <w:bookmarkStart w:id="2" w:name="_Toc72431951"/>
      <w:r>
        <w:t>Aktivnosti na radu dokumenta</w:t>
      </w:r>
      <w:bookmarkEnd w:id="1"/>
      <w:bookmarkEnd w:id="2"/>
    </w:p>
    <w:p w:rsidR="009B7BC2" w:rsidRDefault="009B7BC2" w:rsidP="009B7BC2">
      <w:pPr>
        <w:tabs>
          <w:tab w:val="left" w:pos="1128"/>
        </w:tabs>
      </w:pPr>
      <w:r>
        <w:tab/>
      </w:r>
    </w:p>
    <w:p w:rsidR="009B7BC2" w:rsidRDefault="009B7BC2" w:rsidP="009B7BC2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Temina Nicevic je odradila dokument.</w:t>
      </w:r>
    </w:p>
    <w:p w:rsidR="009B7BC2" w:rsidRDefault="009B7BC2" w:rsidP="009B7BC2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Dinela Ganović odradila izgled dokumenta za trello.</w:t>
      </w:r>
    </w:p>
    <w:p w:rsidR="009B7BC2" w:rsidRDefault="009B7BC2" w:rsidP="009B7BC2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Aylin Gusinac je odradila analizu zainteresovanih zemalja.</w:t>
      </w:r>
    </w:p>
    <w:p w:rsidR="009B7BC2" w:rsidRPr="00634196" w:rsidRDefault="009B7BC2" w:rsidP="009B7BC2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Minela Ganović i Ajša Alibašić dale komentare za dokument.</w:t>
      </w:r>
    </w:p>
    <w:p w:rsidR="009B7BC2" w:rsidRDefault="009B7BC2" w:rsidP="009B7BC2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dogovarjući se u usmenom razgovoru na fakultetu. </w:t>
      </w:r>
    </w:p>
    <w:p w:rsidR="009B7BC2" w:rsidRDefault="009B7BC2" w:rsidP="009B7BC2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U novijoj verziji je izmenjena svrha i kljucni koraci i takođe dodate partnerske organizacije koje učestvuju u projektu .</w:t>
      </w:r>
    </w:p>
    <w:p w:rsidR="009B7BC2" w:rsidRDefault="009B7BC2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1A15E0" w:rsidRDefault="001A15E0" w:rsidP="001A15E0"/>
    <w:p w:rsidR="00634196" w:rsidRDefault="00634196" w:rsidP="009B7BC2">
      <w:pPr>
        <w:pStyle w:val="Heading1"/>
        <w:numPr>
          <w:ilvl w:val="0"/>
          <w:numId w:val="13"/>
        </w:numPr>
        <w:rPr>
          <w:rFonts w:cs="Times New Roman"/>
          <w:lang w:val="sr-Latn-CS"/>
        </w:rPr>
      </w:pPr>
      <w:bookmarkStart w:id="3" w:name="_Toc72431952"/>
      <w:r>
        <w:rPr>
          <w:rFonts w:cs="Times New Roman"/>
        </w:rPr>
        <w:lastRenderedPageBreak/>
        <w:t xml:space="preserve">Analiza </w:t>
      </w:r>
      <w:r>
        <w:rPr>
          <w:rFonts w:cs="Times New Roman"/>
          <w:lang w:val="sr-Latn-CS"/>
        </w:rPr>
        <w:t>zainteresovanih strana</w:t>
      </w:r>
      <w:bookmarkEnd w:id="3"/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634196" w:rsidRPr="00634196" w:rsidRDefault="00634196" w:rsidP="00634196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bookmarkStart w:id="4" w:name="_Toc72431953"/>
      <w:r w:rsidRPr="00634196">
        <w:rPr>
          <w:rFonts w:ascii="Times New Roman" w:hAnsi="Times New Roman" w:cs="Times New Roman"/>
          <w:sz w:val="24"/>
          <w:szCs w:val="24"/>
          <w:lang w:val="sr-Latn-CS"/>
        </w:rPr>
        <w:t>Svrha i ključni koraci</w:t>
      </w:r>
      <w:bookmarkEnd w:id="4"/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t>Planer budzeta je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deo</w:t>
      </w: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 projek</w:t>
      </w:r>
      <w:r>
        <w:rPr>
          <w:rFonts w:ascii="Times New Roman" w:hAnsi="Times New Roman" w:cs="Times New Roman"/>
          <w:sz w:val="24"/>
          <w:szCs w:val="24"/>
          <w:lang w:val="sr-Latn-CS"/>
        </w:rPr>
        <w:t>ta</w:t>
      </w: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 koji kreira proces društvenog dogovaranja koji teži uspostavljanju saglasnost oko dugoročnih strateških ciljeva i prioriteta razvoja zajednice, koji se zasniva na uvažavanju i balansiranju interesa celoga društva i koji se fokusira na održivi razvoj.</w:t>
      </w:r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Kljucni koraci </w:t>
      </w:r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sym w:font="Times New Roman" w:char="F0D8"/>
      </w:r>
      <w:r w:rsidRPr="00634196">
        <w:rPr>
          <w:rFonts w:ascii="Times New Roman" w:hAnsi="Times New Roman" w:cs="Times New Roman"/>
          <w:sz w:val="24"/>
          <w:szCs w:val="24"/>
          <w:lang w:val="sr-Latn-CS"/>
        </w:rPr>
        <w:t>pripreme i izrade budžeta,</w:t>
      </w:r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sym w:font="Times New Roman" w:char="F0D8"/>
      </w: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 usvajanje budžeta (donošenje budžeta ili privremeno finansiranje), </w:t>
      </w:r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sym w:font="Times New Roman" w:char="F0D8"/>
      </w: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 izvršavanje budžeta i</w:t>
      </w:r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sym w:font="Times New Roman" w:char="F0D8"/>
      </w: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 kontrola budžeta</w:t>
      </w:r>
    </w:p>
    <w:p w:rsidR="00634196" w:rsidRDefault="00634196" w:rsidP="00634196">
      <w:pPr>
        <w:rPr>
          <w:rFonts w:ascii="Times New Roman" w:hAnsi="Times New Roman" w:cs="Times New Roman"/>
          <w:sz w:val="28"/>
          <w:szCs w:val="28"/>
          <w:lang w:val="sr-Latn-CS"/>
        </w:rPr>
      </w:pPr>
    </w:p>
    <w:p w:rsidR="00634196" w:rsidRPr="00634196" w:rsidRDefault="00634196" w:rsidP="0063419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72431954"/>
      <w:r w:rsidRPr="00634196">
        <w:rPr>
          <w:rStyle w:val="Heading2Char"/>
          <w:rFonts w:ascii="Times New Roman" w:hAnsi="Times New Roman" w:cs="Times New Roman"/>
          <w:sz w:val="24"/>
          <w:szCs w:val="24"/>
        </w:rPr>
        <w:t>Čije probleme ili mogućnosti analiziramo?</w:t>
      </w:r>
      <w:bookmarkEnd w:id="5"/>
      <w:r w:rsidRPr="00634196">
        <w:rPr>
          <w:rStyle w:val="Heading2Char"/>
          <w:rFonts w:ascii="Times New Roman" w:hAnsi="Times New Roman" w:cs="Times New Roman"/>
          <w:sz w:val="24"/>
          <w:szCs w:val="24"/>
        </w:rPr>
        <w:br/>
      </w:r>
      <w:r w:rsidRPr="00634196">
        <w:rPr>
          <w:rFonts w:ascii="Times New Roman" w:hAnsi="Times New Roman" w:cs="Times New Roman"/>
          <w:sz w:val="24"/>
          <w:szCs w:val="24"/>
        </w:rPr>
        <w:br/>
        <w:t>Analiziramo probleme svakog pojedina, grupe, zavisnke I nezavisne; finansijske I nefinansijske organizacije, vlade pojedinačnih zemanja, globalnih I Evropskih organizacija koje teže održivom razvoju, koji se tiču upravljanja budžetom.</w:t>
      </w:r>
    </w:p>
    <w:p w:rsidR="00634196" w:rsidRPr="00634196" w:rsidRDefault="00634196" w:rsidP="0063419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72431955"/>
      <w:r w:rsidRPr="00634196">
        <w:rPr>
          <w:rFonts w:ascii="Times New Roman" w:hAnsi="Times New Roman" w:cs="Times New Roman"/>
          <w:sz w:val="24"/>
          <w:szCs w:val="24"/>
        </w:rPr>
        <w:t>Ko će imati koristi ili štete od predložene projektne intervencije i na koji način?</w:t>
      </w:r>
      <w:bookmarkEnd w:id="6"/>
      <w:r w:rsidRPr="00634196">
        <w:rPr>
          <w:rFonts w:ascii="Times New Roman" w:hAnsi="Times New Roman" w:cs="Times New Roman"/>
          <w:sz w:val="24"/>
          <w:szCs w:val="24"/>
        </w:rPr>
        <w:t xml:space="preserve"> </w:t>
      </w:r>
      <w:r w:rsidRPr="00634196">
        <w:rPr>
          <w:rFonts w:ascii="Times New Roman" w:hAnsi="Times New Roman" w:cs="Times New Roman"/>
          <w:sz w:val="24"/>
          <w:szCs w:val="24"/>
        </w:rPr>
        <w:br/>
      </w:r>
    </w:p>
    <w:p w:rsidR="00634196" w:rsidRDefault="00634196" w:rsidP="00634196">
      <w:pPr>
        <w:rPr>
          <w:rFonts w:ascii="Times New Roman" w:hAnsi="Times New Roman" w:cs="Times New Roman"/>
          <w:sz w:val="32"/>
          <w:szCs w:val="32"/>
          <w:lang w:val="sr-Latn-CS"/>
        </w:rPr>
      </w:pPr>
      <w:r w:rsidRPr="00634196">
        <w:rPr>
          <w:rFonts w:ascii="Times New Roman" w:hAnsi="Times New Roman" w:cs="Times New Roman"/>
          <w:sz w:val="24"/>
          <w:szCs w:val="24"/>
          <w:lang w:val="sr-Latn-CS"/>
        </w:rPr>
        <w:t xml:space="preserve">Porodice i domaćinstva – Dvočlane ,tročlane i višečlane porodice kojima je potrebna pomoć u upravljanju sopstvenim budžetom; Preduzeća – Regionalna, nacionalna, multinacinalna i globalna preduzeća; Profitne i neprofitne organizacije ; Lokalna uprava, regionalna uprava, Vlada zemalja, EU  organizacije </w:t>
      </w:r>
      <w:r>
        <w:rPr>
          <w:rFonts w:ascii="Times New Roman" w:hAnsi="Times New Roman" w:cs="Times New Roman"/>
          <w:sz w:val="32"/>
          <w:szCs w:val="32"/>
          <w:lang w:val="sr-Latn-CS"/>
        </w:rPr>
        <w:br w:type="page"/>
      </w:r>
    </w:p>
    <w:p w:rsidR="00634196" w:rsidRDefault="00634196" w:rsidP="009B7BC2">
      <w:pPr>
        <w:pStyle w:val="Heading1"/>
        <w:numPr>
          <w:ilvl w:val="0"/>
          <w:numId w:val="13"/>
        </w:numPr>
        <w:rPr>
          <w:rFonts w:cs="Times New Roman"/>
          <w:sz w:val="28"/>
          <w:szCs w:val="28"/>
          <w:lang w:val="sr-Latn-CS"/>
        </w:rPr>
      </w:pPr>
      <w:bookmarkStart w:id="7" w:name="_Toc72431956"/>
      <w:r>
        <w:rPr>
          <w:rFonts w:cs="Times New Roman"/>
          <w:lang w:val="sr-Latn-CS"/>
        </w:rPr>
        <w:lastRenderedPageBreak/>
        <w:t>Matrica analize zainteresovanih strana</w:t>
      </w:r>
      <w:bookmarkEnd w:id="7"/>
    </w:p>
    <w:p w:rsidR="00634196" w:rsidRDefault="00634196" w:rsidP="00634196">
      <w:pPr>
        <w:rPr>
          <w:rFonts w:ascii="Times New Roman" w:hAnsi="Times New Roman" w:cs="Times New Roman"/>
          <w:sz w:val="28"/>
          <w:lang w:val="sr-Latn-CS"/>
        </w:rPr>
      </w:pPr>
    </w:p>
    <w:tbl>
      <w:tblPr>
        <w:tblStyle w:val="LightGrid-Accent5"/>
        <w:tblW w:w="0" w:type="auto"/>
        <w:tblLayout w:type="fixed"/>
        <w:tblLook w:val="04A0"/>
      </w:tblPr>
      <w:tblGrid>
        <w:gridCol w:w="2235"/>
        <w:gridCol w:w="2557"/>
        <w:gridCol w:w="2431"/>
        <w:gridCol w:w="2353"/>
      </w:tblGrid>
      <w:tr w:rsidR="00634196" w:rsidTr="00634196">
        <w:trPr>
          <w:cnfStyle w:val="100000000000"/>
          <w:trHeight w:val="978"/>
        </w:trPr>
        <w:tc>
          <w:tcPr>
            <w:cnfStyle w:val="001000000000"/>
            <w:tcW w:w="2235" w:type="dxa"/>
            <w:vAlign w:val="center"/>
            <w:hideMark/>
          </w:tcPr>
          <w:p w:rsidR="00634196" w:rsidRDefault="00634196">
            <w:pPr>
              <w:jc w:val="center"/>
              <w:rPr>
                <w:rFonts w:ascii="Times New Roman" w:hAnsi="Times New Roman" w:cs="Times New Roman"/>
                <w:sz w:val="28"/>
                <w:lang w:val="sr-Latn-C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Karakteristike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zainteresovanih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druge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karakteristike</w:t>
            </w:r>
            <w:proofErr w:type="spellEnd"/>
          </w:p>
        </w:tc>
        <w:tc>
          <w:tcPr>
            <w:tcW w:w="2557" w:type="dxa"/>
            <w:vAlign w:val="center"/>
            <w:hideMark/>
          </w:tcPr>
          <w:p w:rsidR="00634196" w:rsidRDefault="00634196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lang w:val="sr-Latn-C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Problemi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kakav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uticaj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ju</w:t>
            </w:r>
            <w:proofErr w:type="spellEnd"/>
            <w:r>
              <w:rPr>
                <w:rFonts w:ascii="Times New Roman" w:hAnsi="Times New Roman" w:cs="Times New Roman"/>
              </w:rPr>
              <w:t>) problem(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))</w:t>
            </w:r>
          </w:p>
        </w:tc>
        <w:tc>
          <w:tcPr>
            <w:tcW w:w="2431" w:type="dxa"/>
            <w:vAlign w:val="center"/>
            <w:hideMark/>
          </w:tcPr>
          <w:p w:rsidR="00634196" w:rsidRDefault="00634196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lang w:val="sr-Latn-C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njihovo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sprovođenje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53" w:type="dxa"/>
            <w:vAlign w:val="center"/>
            <w:hideMark/>
          </w:tcPr>
          <w:p w:rsidR="00634196" w:rsidRDefault="00634196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lang w:val="sr-Latn-C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Potencijal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kapacitet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motivacija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ostvarivanje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promena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34196" w:rsidTr="00634196">
        <w:trPr>
          <w:cnfStyle w:val="000000100000"/>
          <w:trHeight w:val="3388"/>
        </w:trPr>
        <w:tc>
          <w:tcPr>
            <w:cnfStyle w:val="001000000000"/>
            <w:tcW w:w="2235" w:type="dxa"/>
          </w:tcPr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 xml:space="preserve">Porodice i domaćinstva – </w:t>
            </w:r>
          </w:p>
          <w:p w:rsidR="00634196" w:rsidRDefault="00634196">
            <w:pPr>
              <w:rPr>
                <w:rFonts w:ascii="Times New Roman" w:hAnsi="Times New Roman" w:cs="Times New Roman"/>
                <w:b w:val="0"/>
                <w:bCs w:val="0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Dvočlane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,tročlane i višečlane porodice kojima je potrebna pomoć u upravljanju sopstvenim budžetom</w:t>
            </w:r>
          </w:p>
        </w:tc>
        <w:tc>
          <w:tcPr>
            <w:tcW w:w="2557" w:type="dxa"/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Neodovoljna znanja u upravljanju novcem</w:t>
            </w:r>
          </w:p>
          <w:p w:rsidR="00634196" w:rsidRDefault="00634196">
            <w:pPr>
              <w:pStyle w:val="ListParagraph"/>
              <w:cnfStyle w:val="000000100000"/>
              <w:rPr>
                <w:rFonts w:ascii="Times New Roman" w:hAnsi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Neadekvatno rasporedjivanje dostupnog budžeta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2431" w:type="dxa"/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Efikasnije rasporedjena finansijska sredstva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Praćenje pozitivnog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/negativnog  finansijskog viška na kraju posmatranog perioda</w:t>
            </w:r>
          </w:p>
        </w:tc>
        <w:tc>
          <w:tcPr>
            <w:tcW w:w="2353" w:type="dxa"/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Interes za uvodjenje mera kontorle finansijskim sredtvima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Kreiranje pozitivnih finansijskih viškova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</w:tr>
      <w:tr w:rsidR="00634196" w:rsidTr="00634196">
        <w:trPr>
          <w:cnfStyle w:val="000000010000"/>
          <w:trHeight w:val="3252"/>
        </w:trPr>
        <w:tc>
          <w:tcPr>
            <w:cnfStyle w:val="001000000000"/>
            <w:tcW w:w="2235" w:type="dxa"/>
          </w:tcPr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 xml:space="preserve">Preduzeća – </w:t>
            </w:r>
          </w:p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Regionalna, nacionalna, multinacinalna i globalna preduzeća;</w:t>
            </w:r>
          </w:p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Profitne i neprofitne organizacije</w:t>
            </w:r>
          </w:p>
        </w:tc>
        <w:tc>
          <w:tcPr>
            <w:tcW w:w="2557" w:type="dxa"/>
          </w:tcPr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Troškovi angažovanja računovodstvenih organizacija koje prate finansijsku sliku organizacije</w:t>
            </w: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Zastarele metode angažovanih računovodtvenih agencija</w:t>
            </w: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2431" w:type="dxa"/>
          </w:tcPr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Brže, ekikasnije i efektivnije upravljanje finansijskim sredstvima</w:t>
            </w: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Angažovanje adekvatnih sredtava, na prave projekte u pravo vreme</w:t>
            </w:r>
          </w:p>
        </w:tc>
        <w:tc>
          <w:tcPr>
            <w:tcW w:w="2353" w:type="dxa"/>
          </w:tcPr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Postizanje likvidnosti i solventnosti preduzeća</w:t>
            </w: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 xml:space="preserve">Ostvarenje privrednog rasta i razvoja </w:t>
            </w: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Poboljšavanje životnog standarda</w:t>
            </w:r>
          </w:p>
        </w:tc>
      </w:tr>
      <w:tr w:rsidR="00634196" w:rsidTr="00634196">
        <w:trPr>
          <w:cnfStyle w:val="000000100000"/>
          <w:trHeight w:val="3513"/>
        </w:trPr>
        <w:tc>
          <w:tcPr>
            <w:cnfStyle w:val="001000000000"/>
            <w:tcW w:w="2235" w:type="dxa"/>
            <w:tcBorders>
              <w:top w:val="nil"/>
              <w:bottom w:val="nil"/>
            </w:tcBorders>
          </w:tcPr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 xml:space="preserve">Lokalna uprava, regionalna uprava, Vlada zemalja,  </w:t>
            </w:r>
          </w:p>
          <w:p w:rsidR="00634196" w:rsidRDefault="00634196">
            <w:pPr>
              <w:rPr>
                <w:rFonts w:ascii="Times New Roman" w:hAnsi="Times New Roman" w:cs="Times New Roman"/>
                <w:b w:val="0"/>
                <w:bCs w:val="0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EU  organizacije</w:t>
            </w:r>
          </w:p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rPr>
                <w:rFonts w:ascii="Times New Roman" w:hAnsi="Times New Roman" w:cs="Times New Roman"/>
                <w:b w:val="0"/>
                <w:bCs w:val="0"/>
                <w:sz w:val="24"/>
                <w:lang w:val="sr-Latn-CS"/>
              </w:rPr>
            </w:pPr>
          </w:p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Troškovi angažovanja računovodstvenih organizacija koje prate finansijsku sliku privrede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Kompleksne procedure praćenja lokalnih, regionalnih, nacionalnih i globalnih transakcija finansijskih sredstava i novčanih derivata</w:t>
            </w:r>
          </w:p>
        </w:tc>
        <w:tc>
          <w:tcPr>
            <w:tcW w:w="2431" w:type="dxa"/>
            <w:tcBorders>
              <w:top w:val="nil"/>
              <w:bottom w:val="nil"/>
            </w:tcBorders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Kreiranje adekvatne slike stanja privrede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Brže, ekikasnije i efektivnije upravljanje finansijskim sredstvima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Rasporedjivanje sredstava na projekte održivog razvoja</w:t>
            </w:r>
          </w:p>
        </w:tc>
        <w:tc>
          <w:tcPr>
            <w:tcW w:w="2353" w:type="dxa"/>
            <w:tcBorders>
              <w:top w:val="nil"/>
              <w:bottom w:val="nil"/>
              <w:right w:val="single" w:sz="4" w:space="0" w:color="auto"/>
            </w:tcBorders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Postizanje stabilnog poreskog sistema država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Poboljšanje životnog standarda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lang w:val="sr-Latn-CS"/>
              </w:rPr>
              <w:t>Finansiranje projekata rasta i održivog razvoja</w:t>
            </w:r>
          </w:p>
        </w:tc>
      </w:tr>
      <w:tr w:rsidR="00634196" w:rsidTr="00634196">
        <w:trPr>
          <w:cnfStyle w:val="000000010000"/>
          <w:trHeight w:val="284"/>
        </w:trPr>
        <w:tc>
          <w:tcPr>
            <w:cnfStyle w:val="001000000000"/>
            <w:tcW w:w="2235" w:type="dxa"/>
            <w:tcBorders>
              <w:top w:val="nil"/>
              <w:bottom w:val="single" w:sz="4" w:space="0" w:color="auto"/>
            </w:tcBorders>
          </w:tcPr>
          <w:p w:rsidR="00634196" w:rsidRDefault="00634196">
            <w:pPr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2557" w:type="dxa"/>
            <w:tcBorders>
              <w:top w:val="nil"/>
              <w:bottom w:val="single" w:sz="4" w:space="0" w:color="auto"/>
            </w:tcBorders>
          </w:tcPr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2431" w:type="dxa"/>
            <w:tcBorders>
              <w:top w:val="nil"/>
              <w:bottom w:val="single" w:sz="4" w:space="0" w:color="auto"/>
            </w:tcBorders>
          </w:tcPr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  <w:tc>
          <w:tcPr>
            <w:tcW w:w="235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34196" w:rsidRDefault="00634196">
            <w:pPr>
              <w:cnfStyle w:val="000000010000"/>
              <w:rPr>
                <w:rFonts w:ascii="Times New Roman" w:hAnsi="Times New Roman" w:cs="Times New Roman"/>
                <w:sz w:val="24"/>
                <w:lang w:val="sr-Latn-CS"/>
              </w:rPr>
            </w:pPr>
          </w:p>
        </w:tc>
      </w:tr>
      <w:tr w:rsidR="00634196" w:rsidTr="00634196">
        <w:trPr>
          <w:cnfStyle w:val="000000100000"/>
        </w:trPr>
        <w:tc>
          <w:tcPr>
            <w:cnfStyle w:val="001000000000"/>
            <w:tcW w:w="2235" w:type="dxa"/>
            <w:hideMark/>
          </w:tcPr>
          <w:p w:rsidR="00634196" w:rsidRDefault="00CC36C5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CC36C5">
              <w:rPr>
                <w:rFonts w:asciiTheme="minorHAnsi" w:eastAsiaTheme="minorEastAsia" w:hAnsiTheme="minorHAnsi" w:cstheme="minorBidi"/>
                <w:noProof/>
                <w:lang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43.35pt;margin-top:-32.25pt;width:376.5pt;height:24.3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" stroked="f">
                  <v:textbox>
                    <w:txbxContent>
                      <w:p w:rsidR="00634196" w:rsidRDefault="00634196" w:rsidP="00634196">
                        <w:pPr>
                          <w:jc w:val="center"/>
                          <w:cnfStyle w:val="001000100000"/>
                          <w:rPr>
                            <w:rFonts w:ascii="Times New Roman" w:hAnsi="Times New Roman" w:cs="Times New Roman"/>
                            <w:sz w:val="28"/>
                            <w:lang w:val="sr-Latn-C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lang w:val="sr-Latn-CS"/>
                          </w:rPr>
                          <w:t>Spisak zainteresovanih univerziteta/fakulteta</w:t>
                        </w:r>
                      </w:p>
                    </w:txbxContent>
                  </v:textbox>
                </v:shape>
              </w:pict>
            </w:r>
            <w:proofErr w:type="spellStart"/>
            <w:r w:rsidR="0063419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Institucija</w:t>
            </w:r>
            <w:proofErr w:type="spellEnd"/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institucije</w:t>
            </w:r>
            <w:proofErr w:type="spellEnd"/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Partnerska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uloga</w:t>
            </w:r>
            <w:proofErr w:type="spellEnd"/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Legal representative</w:t>
            </w:r>
          </w:p>
        </w:tc>
      </w:tr>
      <w:tr w:rsidR="00634196" w:rsidTr="00634196">
        <w:trPr>
          <w:cnfStyle w:val="00000001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University of Novi Sad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University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N/A</w:t>
            </w:r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Departman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Ekonomskih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nauka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– Business IT</w:t>
            </w:r>
          </w:p>
        </w:tc>
      </w:tr>
      <w:tr w:rsidR="00634196" w:rsidTr="00634196">
        <w:trPr>
          <w:cnfStyle w:val="00000010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National Technical University of Athens - NTUA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University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N/A</w:t>
            </w:r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Departman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Tehničkih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nauka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Računarska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tehnika</w:t>
            </w:r>
            <w:proofErr w:type="spellEnd"/>
          </w:p>
        </w:tc>
      </w:tr>
      <w:tr w:rsidR="00634196" w:rsidTr="00634196">
        <w:trPr>
          <w:cnfStyle w:val="00000001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</w:rPr>
              <w:t>University of Tuzla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  <w:t>University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  <w:t>N/A</w:t>
            </w:r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Departman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Tehničkih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nauka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Softersko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inžinjerstvo</w:t>
            </w:r>
            <w:proofErr w:type="spellEnd"/>
          </w:p>
        </w:tc>
      </w:tr>
      <w:tr w:rsidR="00634196" w:rsidTr="00634196">
        <w:trPr>
          <w:cnfStyle w:val="00000010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</w:rPr>
              <w:t>Ss. Cyril and Methodius University of Skopje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  <w:t>University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  <w:t>N/A</w:t>
            </w:r>
          </w:p>
        </w:tc>
        <w:tc>
          <w:tcPr>
            <w:tcW w:w="2353" w:type="dxa"/>
            <w:hideMark/>
          </w:tcPr>
          <w:p w:rsidR="00634196" w:rsidRDefault="00634196">
            <w:pPr>
              <w:tabs>
                <w:tab w:val="center" w:pos="1068"/>
              </w:tabs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Departman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Ekonomskih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nauka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– Business IT</w:t>
            </w:r>
          </w:p>
        </w:tc>
      </w:tr>
      <w:tr w:rsidR="00634196" w:rsidTr="00634196">
        <w:trPr>
          <w:cnfStyle w:val="00000001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</w:rPr>
              <w:t>University of Manchester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  <w:t>University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  <w:t>N/A</w:t>
            </w:r>
          </w:p>
        </w:tc>
        <w:tc>
          <w:tcPr>
            <w:tcW w:w="2353" w:type="dxa"/>
            <w:hideMark/>
          </w:tcPr>
          <w:p w:rsidR="00634196" w:rsidRDefault="00634196">
            <w:pPr>
              <w:tabs>
                <w:tab w:val="center" w:pos="1068"/>
              </w:tabs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Departman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Tehničkih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nauka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Softersko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inžinjerstvo</w:t>
            </w:r>
            <w:proofErr w:type="spellEnd"/>
          </w:p>
        </w:tc>
      </w:tr>
      <w:tr w:rsidR="00634196" w:rsidTr="00634196">
        <w:trPr>
          <w:cnfStyle w:val="00000010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 University of Porto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University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N/A</w:t>
            </w:r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color w:val="212529"/>
                <w:sz w:val="24"/>
                <w:szCs w:val="5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Departman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Matematičkih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nauka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matematika</w:t>
            </w:r>
            <w:proofErr w:type="spellEnd"/>
          </w:p>
        </w:tc>
      </w:tr>
      <w:tr w:rsidR="00634196" w:rsidTr="00634196">
        <w:trPr>
          <w:cnfStyle w:val="00000001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Instituto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Engenharia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Sistemas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Computadores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 xml:space="preserve"> do Porto, INESC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Research Institution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Pružanje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informacija</w:t>
            </w:r>
            <w:proofErr w:type="spellEnd"/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01000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634196" w:rsidTr="00634196">
        <w:trPr>
          <w:cnfStyle w:val="000000100000"/>
        </w:trPr>
        <w:tc>
          <w:tcPr>
            <w:cnfStyle w:val="001000000000"/>
            <w:tcW w:w="2235" w:type="dxa"/>
            <w:hideMark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12529"/>
                <w:sz w:val="24"/>
                <w:szCs w:val="24"/>
              </w:rPr>
              <w:t>Jerzy Zielinski, Lodz</w:t>
            </w:r>
          </w:p>
        </w:tc>
        <w:tc>
          <w:tcPr>
            <w:tcW w:w="2557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5F5F5"/>
              </w:rPr>
              <w:t>Individual expert</w:t>
            </w:r>
          </w:p>
        </w:tc>
        <w:tc>
          <w:tcPr>
            <w:tcW w:w="2431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Ekspertske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usluge</w:t>
            </w:r>
            <w:proofErr w:type="spellEnd"/>
          </w:p>
        </w:tc>
        <w:tc>
          <w:tcPr>
            <w:tcW w:w="2353" w:type="dxa"/>
            <w:hideMark/>
          </w:tcPr>
          <w:p w:rsidR="00634196" w:rsidRDefault="0063419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4196" w:rsidRDefault="00634196" w:rsidP="00634196">
      <w:pPr>
        <w:rPr>
          <w:rFonts w:ascii="Times New Roman" w:hAnsi="Times New Roman" w:cs="Times New Roman"/>
          <w:sz w:val="36"/>
          <w:lang w:val="sr-Latn-CS" w:eastAsia="en-US"/>
        </w:rPr>
      </w:pPr>
    </w:p>
    <w:tbl>
      <w:tblPr>
        <w:tblStyle w:val="LightGrid-Accent5"/>
        <w:tblW w:w="0" w:type="auto"/>
        <w:tblLook w:val="04A0"/>
      </w:tblPr>
      <w:tblGrid>
        <w:gridCol w:w="4788"/>
        <w:gridCol w:w="4788"/>
      </w:tblGrid>
      <w:tr w:rsidR="00634196" w:rsidTr="00634196">
        <w:trPr>
          <w:cnfStyle w:val="100000000000"/>
        </w:trPr>
        <w:tc>
          <w:tcPr>
            <w:cnfStyle w:val="001000000000"/>
            <w:tcW w:w="4788" w:type="dxa"/>
            <w:hideMark/>
          </w:tcPr>
          <w:p w:rsidR="00634196" w:rsidRDefault="00634196">
            <w:pPr>
              <w:rPr>
                <w:rFonts w:ascii="Times New Roman" w:hAnsi="Times New Roman" w:cs="Times New Roman"/>
                <w:sz w:val="28"/>
                <w:lang w:val="sr-Latn-CS"/>
              </w:rPr>
            </w:pPr>
            <w:r>
              <w:rPr>
                <w:rFonts w:ascii="Times New Roman" w:hAnsi="Times New Roman" w:cs="Times New Roman"/>
                <w:sz w:val="28"/>
                <w:lang w:val="sr-Latn-CS"/>
              </w:rPr>
              <w:t>Spisak zainteresovanih zemalja  iz okruženja</w:t>
            </w:r>
          </w:p>
        </w:tc>
        <w:tc>
          <w:tcPr>
            <w:tcW w:w="4788" w:type="dxa"/>
            <w:hideMark/>
          </w:tcPr>
          <w:p w:rsidR="00634196" w:rsidRDefault="00634196">
            <w:pPr>
              <w:cnfStyle w:val="100000000000"/>
              <w:rPr>
                <w:rFonts w:ascii="Times New Roman" w:hAnsi="Times New Roman" w:cs="Times New Roman"/>
                <w:sz w:val="36"/>
                <w:lang w:val="sr-Latn-CS"/>
              </w:rPr>
            </w:pPr>
            <w:r>
              <w:rPr>
                <w:rFonts w:ascii="Times New Roman" w:hAnsi="Times New Roman" w:cs="Times New Roman"/>
                <w:sz w:val="28"/>
                <w:lang w:val="sr-Latn-CS"/>
              </w:rPr>
              <w:t>Spisak zainteresovanih zemalja EU</w:t>
            </w:r>
          </w:p>
        </w:tc>
      </w:tr>
      <w:tr w:rsidR="00634196" w:rsidTr="00634196">
        <w:trPr>
          <w:cnfStyle w:val="000000100000"/>
        </w:trPr>
        <w:tc>
          <w:tcPr>
            <w:cnfStyle w:val="001000000000"/>
            <w:tcW w:w="4788" w:type="dxa"/>
          </w:tcPr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Albanija</w:t>
            </w:r>
            <w:proofErr w:type="spellEnd"/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Bosna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Hercegovina</w:t>
            </w:r>
            <w:proofErr w:type="spellEnd"/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Bugarska</w:t>
            </w:r>
            <w:proofErr w:type="spellEnd"/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Crna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 xml:space="preserve"> Gora</w:t>
            </w:r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Grčka</w:t>
            </w:r>
            <w:proofErr w:type="spellEnd"/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Republika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 xml:space="preserve"> Kosovo</w:t>
            </w:r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Rumunija</w:t>
            </w:r>
            <w:proofErr w:type="spellEnd"/>
          </w:p>
          <w:p w:rsidR="00634196" w:rsidRDefault="00634196">
            <w:pP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  <w:tab/>
              <w:t xml:space="preserve">  Severna Makedonija</w:t>
            </w:r>
          </w:p>
          <w:p w:rsidR="00634196" w:rsidRDefault="00634196">
            <w:pPr>
              <w:rPr>
                <w:rFonts w:ascii="Times New Roman" w:hAnsi="Times New Roman" w:cs="Times New Roman"/>
                <w:sz w:val="36"/>
                <w:lang w:val="sr-Latn-CS"/>
              </w:rPr>
            </w:pPr>
          </w:p>
        </w:tc>
        <w:tc>
          <w:tcPr>
            <w:tcW w:w="4788" w:type="dxa"/>
          </w:tcPr>
          <w:p w:rsidR="00634196" w:rsidRDefault="00634196">
            <w:pPr>
              <w:cnfStyle w:val="000000100000"/>
              <w:rPr>
                <w:rFonts w:ascii="Times New Roman" w:hAnsi="Times New Roman" w:cs="Times New Roman"/>
                <w:b/>
                <w:sz w:val="28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sr-Latn-CS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lang w:val="sr-Latn-CS"/>
              </w:rPr>
              <w:br/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t>1. Spanija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2. Italija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3. Poljska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4. Ceska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 xml:space="preserve">5. Slovacka 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6. Nemacka</w:t>
            </w:r>
            <w:r>
              <w:rPr>
                <w:rFonts w:ascii="Times New Roman" w:hAnsi="Times New Roman" w:cs="Times New Roman"/>
                <w:sz w:val="24"/>
                <w:lang w:val="sr-Latn-CS"/>
              </w:rPr>
              <w:br/>
              <w:t>7. Belgija</w:t>
            </w:r>
          </w:p>
          <w:p w:rsidR="00634196" w:rsidRDefault="00634196">
            <w:pPr>
              <w:cnfStyle w:val="000000100000"/>
              <w:rPr>
                <w:rFonts w:ascii="Times New Roman" w:hAnsi="Times New Roman" w:cs="Times New Roman"/>
                <w:sz w:val="36"/>
                <w:lang w:val="sr-Latn-CS"/>
              </w:rPr>
            </w:pPr>
          </w:p>
        </w:tc>
      </w:tr>
    </w:tbl>
    <w:p w:rsidR="00634196" w:rsidRDefault="00634196" w:rsidP="00634196">
      <w:pPr>
        <w:spacing w:after="0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sectPr w:rsidR="00634196">
          <w:pgSz w:w="12240" w:h="15840"/>
          <w:pgMar w:top="1440" w:right="1440" w:bottom="1440" w:left="1440" w:header="708" w:footer="708" w:gutter="0"/>
          <w:cols w:space="720"/>
        </w:sectPr>
      </w:pPr>
    </w:p>
    <w:p w:rsidR="00634196" w:rsidRDefault="00634196" w:rsidP="009B7BC2">
      <w:pPr>
        <w:pStyle w:val="Heading1"/>
        <w:rPr>
          <w:rFonts w:eastAsia="Times New Roman" w:cs="Times New Roman"/>
          <w:bCs/>
          <w:color w:val="212529"/>
          <w:sz w:val="24"/>
          <w:szCs w:val="24"/>
          <w:lang w:val="en-US" w:eastAsia="en-US"/>
        </w:rPr>
      </w:pPr>
    </w:p>
    <w:sectPr w:rsidR="00634196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BB2" w:rsidRDefault="00307BB2" w:rsidP="00C05622">
      <w:pPr>
        <w:spacing w:after="0" w:line="240" w:lineRule="auto"/>
      </w:pPr>
      <w:r>
        <w:separator/>
      </w:r>
    </w:p>
  </w:endnote>
  <w:endnote w:type="continuationSeparator" w:id="0">
    <w:p w:rsidR="00307BB2" w:rsidRDefault="00307BB2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C05622" w:rsidRPr="00C05622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C05622" w:rsidRPr="00C05622" w:rsidRDefault="00C05622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CC36C5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CC36C5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CC36C5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C05622" w:rsidRPr="00C05622" w:rsidRDefault="00C05622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C05622" w:rsidRDefault="00C056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474389" w:rsidRPr="00474389" w:rsidTr="005B0EC2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474389" w:rsidRPr="00474389" w:rsidRDefault="0047438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CC36C5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CC36C5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474389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="00CC36C5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47438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7</w:t>
            </w:r>
          </w:fldSimple>
        </w:p>
      </w:tc>
    </w:tr>
  </w:tbl>
  <w:p w:rsidR="00474389" w:rsidRDefault="004743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BB2" w:rsidRDefault="00307BB2" w:rsidP="00C05622">
      <w:pPr>
        <w:spacing w:after="0" w:line="240" w:lineRule="auto"/>
      </w:pPr>
      <w:r>
        <w:separator/>
      </w:r>
    </w:p>
  </w:footnote>
  <w:footnote w:type="continuationSeparator" w:id="0">
    <w:p w:rsidR="00307BB2" w:rsidRDefault="00307BB2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8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C05622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C05622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C05622" w:rsidRPr="00C05622" w:rsidRDefault="00C05622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8"/>
  </w:tbl>
  <w:p w:rsidR="00C05622" w:rsidRDefault="00C056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</w:t>
          </w:r>
          <w:r w:rsidR="00634196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474389" w:rsidRPr="00C05622" w:rsidTr="005B0EC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 w:rsidR="00045EC7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</w:t>
          </w:r>
          <w:r w:rsidR="00DE71A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zainteresovanih strana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634196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06.05.2021.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god.</w:t>
          </w:r>
        </w:p>
      </w:tc>
    </w:tr>
    <w:tr w:rsidR="00474389" w:rsidRPr="00C05622" w:rsidTr="005B0EC2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474389" w:rsidRPr="00C05622" w:rsidRDefault="0047438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C05622" w:rsidRDefault="00C056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D7" w:rsidRPr="00F733D7" w:rsidRDefault="00F733D7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bookmarkStart w:id="9" w:name="_Hlk69940130"/>
  </w:p>
  <w:p w:rsidR="00F733D7" w:rsidRPr="00F733D7" w:rsidRDefault="00F733D7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</w:p>
  <w:p w:rsidR="00F733D7" w:rsidRPr="00F733D7" w:rsidRDefault="00F733D7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val="en-US"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val="en-US" w:eastAsia="sr-Latn-CS"/>
      </w:rPr>
      <w:t>TAMAD Team</w:t>
    </w:r>
  </w:p>
  <w:bookmarkEnd w:id="9"/>
  <w:p w:rsidR="00474389" w:rsidRDefault="004743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30"/>
      </v:shape>
    </w:pict>
  </w:numPicBullet>
  <w:abstractNum w:abstractNumId="0">
    <w:nsid w:val="0AC97045"/>
    <w:multiLevelType w:val="hybridMultilevel"/>
    <w:tmpl w:val="72ACBC74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57C25"/>
    <w:multiLevelType w:val="hybridMultilevel"/>
    <w:tmpl w:val="F14A4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F6AEB"/>
    <w:multiLevelType w:val="hybridMultilevel"/>
    <w:tmpl w:val="EEEC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67A58"/>
    <w:multiLevelType w:val="hybridMultilevel"/>
    <w:tmpl w:val="967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F1FD3"/>
    <w:multiLevelType w:val="hybridMultilevel"/>
    <w:tmpl w:val="F7F8755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D85"/>
    <w:multiLevelType w:val="hybridMultilevel"/>
    <w:tmpl w:val="BDA63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167F0"/>
    <w:multiLevelType w:val="hybridMultilevel"/>
    <w:tmpl w:val="5C103D8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20EAC"/>
    <w:multiLevelType w:val="hybridMultilevel"/>
    <w:tmpl w:val="0A7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E0E58"/>
    <w:multiLevelType w:val="hybridMultilevel"/>
    <w:tmpl w:val="C492BDBC"/>
    <w:lvl w:ilvl="0" w:tplc="6DF862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10DAC"/>
    <w:multiLevelType w:val="hybridMultilevel"/>
    <w:tmpl w:val="A2948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7456C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C674D"/>
    <w:multiLevelType w:val="hybridMultilevel"/>
    <w:tmpl w:val="6AC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06E09"/>
    <w:rsid w:val="00045EC7"/>
    <w:rsid w:val="000D044E"/>
    <w:rsid w:val="001A15E0"/>
    <w:rsid w:val="002B1759"/>
    <w:rsid w:val="00307BB2"/>
    <w:rsid w:val="00321395"/>
    <w:rsid w:val="00334A44"/>
    <w:rsid w:val="003535CE"/>
    <w:rsid w:val="003C4473"/>
    <w:rsid w:val="003D5A09"/>
    <w:rsid w:val="00474389"/>
    <w:rsid w:val="005843EC"/>
    <w:rsid w:val="005A5178"/>
    <w:rsid w:val="005B0611"/>
    <w:rsid w:val="005F0688"/>
    <w:rsid w:val="00634196"/>
    <w:rsid w:val="00704E11"/>
    <w:rsid w:val="007C7401"/>
    <w:rsid w:val="007D76D0"/>
    <w:rsid w:val="00812AC0"/>
    <w:rsid w:val="00830617"/>
    <w:rsid w:val="008510EB"/>
    <w:rsid w:val="00886A22"/>
    <w:rsid w:val="00985B12"/>
    <w:rsid w:val="009B7BC2"/>
    <w:rsid w:val="00A321C5"/>
    <w:rsid w:val="00A74E7E"/>
    <w:rsid w:val="00B9034B"/>
    <w:rsid w:val="00BB022D"/>
    <w:rsid w:val="00C05622"/>
    <w:rsid w:val="00C51B55"/>
    <w:rsid w:val="00CC36C5"/>
    <w:rsid w:val="00CE3367"/>
    <w:rsid w:val="00DE577F"/>
    <w:rsid w:val="00DE71A2"/>
    <w:rsid w:val="00E21464"/>
    <w:rsid w:val="00E879B0"/>
    <w:rsid w:val="00F733D7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C5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044E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0EB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1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LightGrid-Accent5">
    <w:name w:val="Light Grid Accent 5"/>
    <w:basedOn w:val="TableNormal"/>
    <w:uiPriority w:val="62"/>
    <w:rsid w:val="00DE71A2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0D04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4A2F97A-838D-4797-A459-DBDCFEB7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2021-05-20T17:39:00Z</dcterms:created>
  <dcterms:modified xsi:type="dcterms:W3CDTF">2021-05-20T17:39:00Z</dcterms:modified>
</cp:coreProperties>
</file>