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69d54ee4626114b7191565ef02b2757bcfda53"/>
    <w:p>
      <w:pPr>
        <w:pStyle w:val="Heading1"/>
      </w:pPr>
      <w:r>
        <w:t xml:space="preserve">Brownfield → Production-Grade Transformation Runbook</w:t>
      </w:r>
    </w:p>
    <w:p>
      <w:pPr>
        <w:pStyle w:val="FirstParagraph"/>
      </w:pPr>
      <w:r>
        <w:rPr>
          <w:bCs/>
          <w:b/>
        </w:rPr>
        <w:t xml:space="preserve">Target system:</w:t>
      </w:r>
      <w:r>
        <w:t xml:space="preserve"> </w:t>
      </w:r>
      <w:r>
        <w:rPr>
          <w:rStyle w:val="VerbatimChar"/>
        </w:rPr>
        <w:t xml:space="preserve">07-logistics-shipment-fleet-routing-ops</w:t>
      </w:r>
      <w:r>
        <w:t xml:space="preserve"> </w:t>
      </w:r>
      <w:r>
        <w:t xml:space="preserve">— Logistics: Shipment, Fleet,</w:t>
      </w:r>
      <w:r>
        <w:t xml:space="preserve"> </w:t>
      </w:r>
      <w:r>
        <w:t xml:space="preserve">Routing &amp; Exception Operations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AI-FDE Transformation Team — Delta-Team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2026-10-08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CTO review</w:t>
      </w:r>
    </w:p>
    <w:p>
      <w:r>
        <w:pict>
          <v:rect style="width:0;height:1.5pt" o:hralign="center" o:hrstd="t" o:hr="t"/>
        </w:pict>
      </w:r>
    </w:p>
    <w:bookmarkStart w:id="20" w:name="what-this-package-is"/>
    <w:p>
      <w:pPr>
        <w:pStyle w:val="Heading2"/>
      </w:pPr>
      <w:r>
        <w:t xml:space="preserve">What this package is</w:t>
      </w:r>
    </w:p>
    <w:p>
      <w:pPr>
        <w:pStyle w:val="FirstParagraph"/>
      </w:pPr>
      <w:r>
        <w:t xml:space="preserve">An execution-ready runbook for transforming the delivered brownfield repository into a</w:t>
      </w:r>
      <w:r>
        <w:t xml:space="preserve"> </w:t>
      </w:r>
      <w:r>
        <w:t xml:space="preserve">production-grade repository, with complete and verifiable evidence for every claim.</w:t>
      </w:r>
    </w:p>
    <w:p>
      <w:pPr>
        <w:pStyle w:val="BodyText"/>
      </w:pPr>
      <w:r>
        <w:rPr>
          <w:bCs/>
          <w:b/>
        </w:rPr>
        <w:t xml:space="preserve">Scope constraint honoured:</w:t>
      </w:r>
      <w:r>
        <w:t xml:space="preserve"> </w:t>
      </w:r>
      <w:r>
        <w:t xml:space="preserve">this package is the preparation of the runbook only. No</w:t>
      </w:r>
      <w:r>
        <w:t xml:space="preserve"> </w:t>
      </w:r>
      <w:r>
        <w:t xml:space="preserve">repository file was created, modified, refactored or executed in producing it. The only</w:t>
      </w:r>
      <w:r>
        <w:t xml:space="preserve"> </w:t>
      </w:r>
      <w:r>
        <w:t xml:space="preserve">activity performed against the repository was read-only inspection and read-only data</w:t>
      </w:r>
      <w:r>
        <w:t xml:space="preserve"> </w:t>
      </w:r>
      <w:r>
        <w:t xml:space="preserve">profiling, with all scripts and outputs written outside the repository tree.</w:t>
      </w:r>
    </w:p>
    <w:p>
      <w:r>
        <w:pict>
          <v:rect style="width:0;height:1.5pt" o:hralign="center" o:hrstd="t" o:hr="t"/>
        </w:pict>
      </w:r>
    </w:p>
    <w:bookmarkEnd w:id="20"/>
    <w:bookmarkStart w:id="21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 in this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 —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evidence contract, directory spine, role slots, how to use the runbook, and the hard prerequisite that must be met before any step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 — Baseline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findings with file-level evidence, severity and rubric linkage; what is genuinely sound and must be preserved; the three findings that shape everything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 — The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stages, 102 numbered steps. Each step states its action, inputs, the earlier step it depends on</w:t>
            </w:r>
            <w:r>
              <w:t xml:space="preserve"> </w:t>
            </w:r>
            <w:r>
              <w:rPr>
                <w:bCs/>
                <w:b/>
              </w:rPr>
              <w:t xml:space="preserve">and why</w:t>
            </w:r>
            <w:r>
              <w:t xml:space="preserve">, its outputs, the evidence it must capture and where that evidence is stored. Each stage ends with verifiable 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 — Evidence &amp; Rubric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 coverage matrix mapping every criterion to the steps and evidence artifacts that satisfy it, plus an explicit list of the criteria the current artifacts</w:t>
            </w:r>
            <w:r>
              <w:t xml:space="preserve"> </w:t>
            </w:r>
            <w:r>
              <w:rPr>
                <w:bCs/>
                <w:b/>
              </w:rPr>
              <w:t xml:space="preserve">cannot yet satisfy</w:t>
            </w:r>
            <w:r>
              <w:t xml:space="preserve">, each with a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 — Open Questions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open questions with owners, blocked steps and a recommended default for each, so work is never blocked by an unanswered question</w:t>
            </w:r>
          </w:p>
        </w:tc>
      </w:tr>
    </w:tbl>
    <w:p>
      <w:pPr>
        <w:pStyle w:val="BodyText"/>
      </w:pPr>
      <w:r>
        <w:t xml:space="preserve">Each document is provided as 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21c6d67a7ea0f8fa796a1ec8558159bf55d0680"/>
    <w:p>
      <w:pPr>
        <w:pStyle w:val="Heading2"/>
      </w:pPr>
      <w:r>
        <w:t xml:space="preserve">The three things to know before reading further</w:t>
      </w:r>
    </w:p>
    <w:p>
      <w:pPr>
        <w:pStyle w:val="FirstParagraph"/>
      </w:pPr>
      <w:r>
        <w:rPr>
          <w:bCs/>
          <w:b/>
        </w:rPr>
        <w:t xml:space="preserve">1. The repository is not under version control.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 </w:t>
      </w:r>
      <w:r>
        <w:t xml:space="preserve">returns</w:t>
      </w:r>
      <w:r>
        <w:t xml:space="preserve"> </w:t>
      </w:r>
      <w:r>
        <w:rPr>
          <w:iCs/>
          <w:i/>
        </w:rPr>
        <w:t xml:space="preserve">"fatal: not a git</w:t>
      </w:r>
      <w:r>
        <w:rPr>
          <w:iCs/>
          <w:i/>
        </w:rPr>
        <w:t xml:space="preserve"> </w:t>
      </w:r>
      <w:r>
        <w:rPr>
          <w:iCs/>
          <w:i/>
        </w:rPr>
        <w:t xml:space="preserve">repository"</w:t>
      </w:r>
      <w:r>
        <w:t xml:space="preserve">. The Delivery Spine requires every artifact to be version-controlled, to never</w:t>
      </w:r>
      <w:r>
        <w:t xml:space="preserve"> </w:t>
      </w:r>
      <w:r>
        <w:t xml:space="preserve">overwrite prior evidence, and to preserve baselines for before/after comparison. None of those</w:t>
      </w:r>
      <w:r>
        <w:t xml:space="preserve"> </w:t>
      </w:r>
      <w:r>
        <w:t xml:space="preserve">is possible today, which is why Step A1 establishes version control and an immutable</w:t>
      </w:r>
      <w:r>
        <w:t xml:space="preserve"> </w:t>
      </w:r>
      <w:r>
        <w:t xml:space="preserve">as-delivered tag before anything else happens.</w:t>
      </w:r>
    </w:p>
    <w:p>
      <w:pPr>
        <w:pStyle w:val="BodyText"/>
      </w:pPr>
      <w:r>
        <w:rPr>
          <w:bCs/>
          <w:b/>
        </w:rPr>
        <w:t xml:space="preserve">2. The system's deficiency is provability, not just code quality.</w:t>
      </w:r>
      <w:r>
        <w:t xml:space="preserve"> </w:t>
      </w:r>
      <w:r>
        <w:t xml:space="preserve">About one third (32.8%) of the event stream carries no correlation ID. The audit record has no actor. The audit sink is a local file</w:t>
      </w:r>
      <w:r>
        <w:t xml:space="preserve"> </w:t>
      </w:r>
      <w:r>
        <w:t xml:space="preserve">the audited process writes. The pipeline produces no evidence. Four of the five rubric criteria</w:t>
      </w:r>
      <w:r>
        <w:t xml:space="preserve"> </w:t>
      </w:r>
      <w:r>
        <w:t xml:space="preserve">are scored on demonstrable proof, so evidence infrastructure is Stage A, not a late-stage</w:t>
      </w:r>
      <w:r>
        <w:t xml:space="preserve"> </w:t>
      </w:r>
      <w:r>
        <w:t xml:space="preserve">activity.</w:t>
      </w:r>
    </w:p>
    <w:p>
      <w:pPr>
        <w:pStyle w:val="BodyText"/>
      </w:pPr>
      <w:r>
        <w:rPr>
          <w:bCs/>
          <w:b/>
        </w:rPr>
        <w:t xml:space="preserve">3. The findings and the marks are not in the same place.</w:t>
      </w:r>
      <w:r>
        <w:t xml:space="preserve"> </w:t>
      </w:r>
      <w:r>
        <w:t xml:space="preserve">Thirty-one of the fifty-seven</w:t>
      </w:r>
      <w:r>
        <w:t xml:space="preserve"> </w:t>
      </w:r>
      <w:r>
        <w:t xml:space="preserve">findings map to Governance, Risk, Security &amp; Compliance (20 marks); only seven map to PRD &amp;</w:t>
      </w:r>
      <w:r>
        <w:t xml:space="preserve"> </w:t>
      </w:r>
      <w:r>
        <w:t xml:space="preserve">Working Application Execution (25 marks). Left to its own gravity, the findings register will</w:t>
      </w:r>
      <w:r>
        <w:t xml:space="preserve"> </w:t>
      </w:r>
      <w:r>
        <w:t xml:space="preserve">pull effort away from the working application. That trade-off should be made deliberately at</w:t>
      </w:r>
      <w:r>
        <w:t xml:space="preserve"> </w:t>
      </w:r>
      <w:r>
        <w:t xml:space="preserve">Step I2, not discovered late. See Document 03 §4.</w:t>
      </w:r>
    </w:p>
    <w:p>
      <w:r>
        <w:pict>
          <v:rect style="width:0;height:1.5pt" o:hralign="center" o:hrstd="t" o:hr="t"/>
        </w:pict>
      </w:r>
    </w:p>
    <w:bookmarkEnd w:id="22"/>
    <w:bookmarkStart w:id="23" w:name="Xa6848bdf13faa5c05cf164553ecf8bab55d877f"/>
    <w:p>
      <w:pPr>
        <w:pStyle w:val="Heading2"/>
      </w:pPr>
      <w:r>
        <w:t xml:space="preserve">The five decisions needed from the CTO first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OQ-11</w:t>
      </w:r>
      <w:r>
        <w:t xml:space="preserve"> </w:t>
      </w:r>
      <w:r>
        <w:t xml:space="preserve">— Who authorises the first write to the repository, and when? Everything from</w:t>
      </w:r>
      <w:r>
        <w:t xml:space="preserve"> </w:t>
      </w:r>
      <w:r>
        <w:t xml:space="preserve">Stage H onward is blocked without it; Stages A–G can proceed in the meantime.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OQ-05</w:t>
      </w:r>
      <w:r>
        <w:t xml:space="preserve"> </w:t>
      </w:r>
      <w:r>
        <w:t xml:space="preserve">— Who are the named approvers? Every gate signature depends on it, and the</w:t>
      </w:r>
      <w:r>
        <w:t xml:space="preserve"> </w:t>
      </w:r>
      <w:r>
        <w:t xml:space="preserve">Delivery Spine forbids inventing owners.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OQ-02</w:t>
      </w:r>
      <w:r>
        <w:t xml:space="preserve"> </w:t>
      </w:r>
      <w:r>
        <w:t xml:space="preserve">— Which two models? The Challenge Guide's second-model comparison cannot be</w:t>
      </w:r>
      <w:r>
        <w:t xml:space="preserve"> </w:t>
      </w:r>
      <w:r>
        <w:t xml:space="preserve">simulated or substituted.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OQ-01</w:t>
      </w:r>
      <w:r>
        <w:t xml:space="preserve"> </w:t>
      </w:r>
      <w:r>
        <w:t xml:space="preserve">— Which target platform? Four stages of infrastructure, identity, secrets and</w:t>
      </w:r>
      <w:r>
        <w:t xml:space="preserve"> </w:t>
      </w:r>
      <w:r>
        <w:t xml:space="preserve">release work are platform-shaped.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OQ-12</w:t>
      </w:r>
      <w:r>
        <w:t xml:space="preserve"> </w:t>
      </w:r>
      <w:r>
        <w:t xml:space="preserve">— What is the time budget? It governs the trade-off in point 3 above.</w:t>
      </w:r>
    </w:p>
    <w:p>
      <w:pPr>
        <w:pStyle w:val="FirstParagraph"/>
      </w:pPr>
      <w:r>
        <w:t xml:space="preserve">Full detail, with recommended defaults for each, in Document 04.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2026-10-08T09:25:27Z</dcterms:created>
  <dcterms:modified xsi:type="dcterms:W3CDTF">2026-10-08T09:25:27Z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