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3a382400fc109eef49ad004bb6f1794d5410fe"/>
      <w:r>
        <w:t xml:space="preserve">Brownfield → Production-Grade Transformation Runbook</w:t>
      </w:r>
      <w:bookmarkEnd w:id="20"/>
    </w:p>
    <w:p>
      <w:pPr>
        <w:pStyle w:val="FirstParagraph"/>
      </w:pPr>
      <w:r>
        <w:rPr>
          <w:b/>
        </w:rPr>
        <w:t xml:space="preserve">Target system:</w:t>
      </w:r>
      <w:r>
        <w:t xml:space="preserve"> </w:t>
      </w:r>
      <w:r>
        <w:rPr>
          <w:rStyle w:val="VerbatimChar"/>
        </w:rPr>
        <w:t xml:space="preserve">07-logistics-shipment-fleet-routing-ops</w:t>
      </w:r>
      <w:r>
        <w:t xml:space="preserve"> </w:t>
      </w:r>
      <w:r>
        <w:t xml:space="preserve">— Logistics: Shipment, Fleet,</w:t>
      </w:r>
      <w:r>
        <w:t xml:space="preserve"> </w:t>
      </w:r>
      <w:r>
        <w:t xml:space="preserve">Routing &amp; Exception Operations</w:t>
      </w:r>
      <w:r>
        <w:t xml:space="preserve"> </w:t>
      </w:r>
      <w:r>
        <w:rPr>
          <w:b/>
        </w:rPr>
        <w:t xml:space="preserve">Prepared by:</w:t>
      </w:r>
      <w:r>
        <w:t xml:space="preserve"> </w:t>
      </w:r>
      <w:r>
        <w:t xml:space="preserve">AI-FDE Transformation Team — Delta-Team</w:t>
      </w:r>
      <w:r>
        <w:t xml:space="preserve"> </w:t>
      </w:r>
      <w:r>
        <w:rPr>
          <w:b/>
        </w:rPr>
        <w:t xml:space="preserve">Version:</w:t>
      </w:r>
      <w:r>
        <w:t xml:space="preserve"> </w:t>
      </w:r>
      <w:r>
        <w:t xml:space="preserve">v1.0 ·</w:t>
      </w:r>
      <w:r>
        <w:t xml:space="preserve"> </w:t>
      </w:r>
      <w:r>
        <w:rPr>
          <w:b/>
        </w:rPr>
        <w:t xml:space="preserve">Date:</w:t>
      </w:r>
      <w:r>
        <w:t xml:space="preserve"> </w:t>
      </w:r>
      <w:r>
        <w:t xml:space="preserve">2026-10-08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Draft for CTO review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this-package-is"/>
      <w:r>
        <w:t xml:space="preserve">What this package is</w:t>
      </w:r>
      <w:bookmarkEnd w:id="21"/>
    </w:p>
    <w:p>
      <w:pPr>
        <w:pStyle w:val="FirstParagraph"/>
      </w:pPr>
      <w:r>
        <w:t xml:space="preserve">An execution-ready runbook for transforming the delivered brownfield repository into a</w:t>
      </w:r>
      <w:r>
        <w:t xml:space="preserve"> </w:t>
      </w:r>
      <w:r>
        <w:t xml:space="preserve">production-grade repository, with complete and verifiable evidence for every claim.</w:t>
      </w:r>
    </w:p>
    <w:p>
      <w:pPr>
        <w:pStyle w:val="BodyText"/>
      </w:pPr>
      <w:r>
        <w:rPr>
          <w:b/>
        </w:rPr>
        <w:t xml:space="preserve">Scope constraint honoured:</w:t>
      </w:r>
      <w:r>
        <w:t xml:space="preserve"> </w:t>
      </w:r>
      <w:r>
        <w:t xml:space="preserve">this package is the preparation of the runbook only. No</w:t>
      </w:r>
      <w:r>
        <w:t xml:space="preserve"> </w:t>
      </w:r>
      <w:r>
        <w:t xml:space="preserve">repository file was created, modified, refactored or executed in producing it. The only</w:t>
      </w:r>
      <w:r>
        <w:t xml:space="preserve"> </w:t>
      </w:r>
      <w:r>
        <w:t xml:space="preserve">activity performed against the repository was read-only inspection and read-only data</w:t>
      </w:r>
      <w:r>
        <w:t xml:space="preserve"> </w:t>
      </w:r>
      <w:r>
        <w:t xml:space="preserve">profiling, with all scripts and outputs written outside the repository tree.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contents"/>
      <w:r>
        <w:t xml:space="preserve">Contents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Read in this order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gives you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00 — Overview</w:t>
            </w:r>
          </w:p>
        </w:tc>
        <w:tc>
          <w:p>
            <w:pPr>
              <w:pStyle w:val="Compact"/>
              <w:jc w:val="left"/>
            </w:pPr>
            <w:r>
              <w:t xml:space="preserve">Scope, evidence contract, directory spine, role slots, how to use the runbook, and the hard prerequisite that must be met before any step runs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01 — Baseline Assessment</w:t>
            </w:r>
          </w:p>
        </w:tc>
        <w:tc>
          <w:p>
            <w:pPr>
              <w:pStyle w:val="Compact"/>
              <w:jc w:val="left"/>
            </w:pPr>
            <w:r>
              <w:t xml:space="preserve">57 findings with file-level evidence, severity and rubric linkage; what is genuinely sound and must be preserved; the three findings that shape everything else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02 — The Runbook</w:t>
            </w:r>
          </w:p>
        </w:tc>
        <w:tc>
          <w:p>
            <w:pPr>
              <w:pStyle w:val="Compact"/>
              <w:jc w:val="left"/>
            </w:pPr>
            <w:r>
              <w:t xml:space="preserve">18 stages, 102 numbered steps. Each step states its action, inputs, the earlier step it depends on</w:t>
            </w:r>
            <w:r>
              <w:t xml:space="preserve"> </w:t>
            </w:r>
            <w:r>
              <w:rPr>
                <w:b/>
              </w:rPr>
              <w:t xml:space="preserve">and why</w:t>
            </w:r>
            <w:r>
              <w:t xml:space="preserve">, its outputs, the evidence it must capture and where that evidence is stored. Each stage ends with verifiable exit criteria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03 — Evidence &amp; Rubric Traceability</w:t>
            </w:r>
          </w:p>
        </w:tc>
        <w:tc>
          <w:p>
            <w:pPr>
              <w:pStyle w:val="Compact"/>
              <w:jc w:val="left"/>
            </w:pPr>
            <w:r>
              <w:t xml:space="preserve">Rubric coverage matrix mapping every criterion to the steps and evidence artifacts that satisfy it, plus an explicit list of the criteria the current artifacts</w:t>
            </w:r>
            <w:r>
              <w:t xml:space="preserve"> </w:t>
            </w:r>
            <w:r>
              <w:rPr>
                <w:b/>
              </w:rPr>
              <w:t xml:space="preserve">cannot yet satisfy</w:t>
            </w:r>
            <w:r>
              <w:t xml:space="preserve">, each with a fallback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04 — Open Questions Register</w:t>
            </w:r>
          </w:p>
        </w:tc>
        <w:tc>
          <w:p>
            <w:pPr>
              <w:pStyle w:val="Compact"/>
              <w:jc w:val="left"/>
            </w:pPr>
            <w:r>
              <w:t xml:space="preserve">23 open questions with owners, blocked steps and a recommended default for each, so work is never blocked by an unanswered question</w:t>
            </w:r>
          </w:p>
        </w:tc>
      </w:tr>
    </w:tbl>
    <w:p>
      <w:pPr>
        <w:pStyle w:val="BodyText"/>
      </w:pPr>
      <w:r>
        <w:t xml:space="preserve">Each document is provided as both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21c6d67a7ea0f8fa796a1ec8558159bf55d0680"/>
      <w:r>
        <w:t xml:space="preserve">The three things to know before reading further</w:t>
      </w:r>
      <w:bookmarkEnd w:id="23"/>
    </w:p>
    <w:p>
      <w:pPr>
        <w:pStyle w:val="FirstParagraph"/>
      </w:pPr>
      <w:r>
        <w:rPr>
          <w:b/>
        </w:rPr>
        <w:t xml:space="preserve">1. The repository is not under version control.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 </w:t>
      </w:r>
      <w:r>
        <w:t xml:space="preserve">returns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fatal: not a git</w:t>
      </w:r>
      <w:r>
        <w:rPr>
          <w:i/>
        </w:rPr>
        <w:t xml:space="preserve"> </w:t>
      </w:r>
      <w:r>
        <w:rPr>
          <w:i/>
        </w:rPr>
        <w:t xml:space="preserve">repository</w:t>
      </w:r>
      <w:r>
        <w:rPr>
          <w:i/>
        </w:rPr>
        <w:t xml:space="preserve">”</w:t>
      </w:r>
      <w:r>
        <w:t xml:space="preserve">. The Delivery Spine requires every artifact to be version-controlled, to never</w:t>
      </w:r>
      <w:r>
        <w:t xml:space="preserve"> </w:t>
      </w:r>
      <w:r>
        <w:t xml:space="preserve">overwrite prior evidence, and to preserve baselines for before/after comparison. None of those</w:t>
      </w:r>
      <w:r>
        <w:t xml:space="preserve"> </w:t>
      </w:r>
      <w:r>
        <w:t xml:space="preserve">is possible today, which is why Step A1 establishes version control and an immutable</w:t>
      </w:r>
      <w:r>
        <w:t xml:space="preserve"> </w:t>
      </w:r>
      <w:r>
        <w:t xml:space="preserve">as-delivered tag before anything else happens.</w:t>
      </w:r>
    </w:p>
    <w:p>
      <w:pPr>
        <w:pStyle w:val="BodyText"/>
      </w:pPr>
      <w:r>
        <w:rPr>
          <w:b/>
        </w:rPr>
        <w:t xml:space="preserve">2. The system’s deficiency is provability, not just code quality.</w:t>
      </w:r>
      <w:r>
        <w:t xml:space="preserve"> </w:t>
      </w:r>
      <w:r>
        <w:t xml:space="preserve">About two thirds (66.4%) of the event stream carries no usable correlation ID. The audit record has no actor. The audit sink is a local file</w:t>
      </w:r>
      <w:r>
        <w:t xml:space="preserve"> </w:t>
      </w:r>
      <w:r>
        <w:t xml:space="preserve">the audited process writes. The pipeline produces no evidence. Four of the five rubric criteria</w:t>
      </w:r>
      <w:r>
        <w:t xml:space="preserve"> </w:t>
      </w:r>
      <w:r>
        <w:t xml:space="preserve">are scored on demonstrable proof, so evidence infrastructure is Stage A, not a late-stage</w:t>
      </w:r>
      <w:r>
        <w:t xml:space="preserve"> </w:t>
      </w:r>
      <w:r>
        <w:t xml:space="preserve">activity.</w:t>
      </w:r>
    </w:p>
    <w:p>
      <w:pPr>
        <w:pStyle w:val="BodyText"/>
      </w:pPr>
      <w:r>
        <w:rPr>
          <w:b/>
        </w:rPr>
        <w:t xml:space="preserve">3. The findings and the marks are not in the same place.</w:t>
      </w:r>
      <w:r>
        <w:t xml:space="preserve"> </w:t>
      </w:r>
      <w:r>
        <w:t xml:space="preserve">Thirty-one of the fifty-seven</w:t>
      </w:r>
      <w:r>
        <w:t xml:space="preserve"> </w:t>
      </w:r>
      <w:r>
        <w:t xml:space="preserve">findings map to Governance, Risk, Security &amp; Compliance (20 marks); only seven map to PRD &amp;</w:t>
      </w:r>
      <w:r>
        <w:t xml:space="preserve"> </w:t>
      </w:r>
      <w:r>
        <w:t xml:space="preserve">Working Application Execution (25 marks). Left to its own gravity, the findings register will</w:t>
      </w:r>
      <w:r>
        <w:t xml:space="preserve"> </w:t>
      </w:r>
      <w:r>
        <w:t xml:space="preserve">pull effort away from the working application. That trade-off should be made deliberately at</w:t>
      </w:r>
      <w:r>
        <w:t xml:space="preserve"> </w:t>
      </w:r>
      <w:r>
        <w:t xml:space="preserve">Step I2, not discovered late. See Document 03 §4.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a6848bdf13faa5c05cf164553ecf8bab55d877f"/>
      <w:r>
        <w:t xml:space="preserve">The five decisions needed from the CTO first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OQ-11</w:t>
      </w:r>
      <w:r>
        <w:t xml:space="preserve"> </w:t>
      </w:r>
      <w:r>
        <w:t xml:space="preserve">— Who authorises the first write to the repository, and when? Everything from</w:t>
      </w:r>
      <w:r>
        <w:t xml:space="preserve"> </w:t>
      </w:r>
      <w:r>
        <w:t xml:space="preserve">Stage H onward is blocked without it; Stages A–G can proceed in the meantime.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OQ-05</w:t>
      </w:r>
      <w:r>
        <w:t xml:space="preserve"> </w:t>
      </w:r>
      <w:r>
        <w:t xml:space="preserve">— Who are the named approvers? Every gate signature depends on it, and the</w:t>
      </w:r>
      <w:r>
        <w:t xml:space="preserve"> </w:t>
      </w:r>
      <w:r>
        <w:t xml:space="preserve">Delivery Spine forbids inventing owners.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OQ-02</w:t>
      </w:r>
      <w:r>
        <w:t xml:space="preserve"> </w:t>
      </w:r>
      <w:r>
        <w:t xml:space="preserve">— Which two models? The Challenge Guide’s second-model comparison cannot be</w:t>
      </w:r>
      <w:r>
        <w:t xml:space="preserve"> </w:t>
      </w:r>
      <w:r>
        <w:t xml:space="preserve">simulated or substituted.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OQ-01</w:t>
      </w:r>
      <w:r>
        <w:t xml:space="preserve"> </w:t>
      </w:r>
      <w:r>
        <w:t xml:space="preserve">— Which target platform? Four stages of infrastructure, identity, secrets and</w:t>
      </w:r>
      <w:r>
        <w:t xml:space="preserve"> </w:t>
      </w:r>
      <w:r>
        <w:t xml:space="preserve">release work are platform-shaped.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OQ-12</w:t>
      </w:r>
      <w:r>
        <w:t xml:space="preserve"> </w:t>
      </w:r>
      <w:r>
        <w:t xml:space="preserve">— What is the time budget? It governs the trade-off in point 3 above.</w:t>
      </w:r>
    </w:p>
    <w:p>
      <w:pPr>
        <w:pStyle w:val="FirstParagraph"/>
      </w:pPr>
      <w:r>
        <w:t xml:space="preserve">Full detail, with recommended defaults for each, in Document 04.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2026-10-08T10:19:04Z</dcterms:created>
  <dcterms:modified xsi:type="dcterms:W3CDTF">2026-10-08T10:19:04Z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