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30.png" ContentType="image/png"/>
  <Override PartName="/word/media/rId36.png" ContentType="image/png"/>
  <Override PartName="/word/media/rId47.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Brownfield</w:t>
      </w:r>
      <w:r>
        <w:t xml:space="preserve"> </w:t>
      </w:r>
      <w:r>
        <w:t xml:space="preserve">to</w:t>
      </w:r>
      <w:r>
        <w:t xml:space="preserve"> </w:t>
      </w:r>
      <w:r>
        <w:t xml:space="preserve">Repo</w:t>
      </w:r>
      <w:r>
        <w:t xml:space="preserve"> </w:t>
      </w:r>
      <w:r>
        <w:t xml:space="preserve">2.0:</w:t>
      </w:r>
      <w:r>
        <w:t xml:space="preserve"> </w:t>
      </w:r>
      <w:r>
        <w:t xml:space="preserve">CTO</w:t>
      </w:r>
      <w:r>
        <w:t xml:space="preserve"> </w:t>
      </w:r>
      <w:r>
        <w:t xml:space="preserve">Briefing</w:t>
      </w:r>
    </w:p>
    <w:p>
      <w:pPr>
        <w:pStyle w:val="Subtitle"/>
      </w:pPr>
      <w:r>
        <w:t xml:space="preserve">Logistics</w:t>
      </w:r>
      <w:r>
        <w:t xml:space="preserve"> </w:t>
      </w:r>
      <w:r>
        <w:t xml:space="preserve">shipment,</w:t>
      </w:r>
      <w:r>
        <w:t xml:space="preserve"> </w:t>
      </w:r>
      <w:r>
        <w:t xml:space="preserve">fleet,</w:t>
      </w:r>
      <w:r>
        <w:t xml:space="preserve"> </w:t>
      </w:r>
      <w:r>
        <w:t xml:space="preserve">routing</w:t>
      </w:r>
      <w:r>
        <w:t xml:space="preserve"> </w:t>
      </w:r>
      <w:r>
        <w:t xml:space="preserve">and</w:t>
      </w:r>
      <w:r>
        <w:t xml:space="preserve"> </w:t>
      </w:r>
      <w:r>
        <w:t xml:space="preserve">exception</w:t>
      </w:r>
      <w:r>
        <w:t xml:space="preserve"> </w:t>
      </w:r>
      <w:r>
        <w:t xml:space="preserve">operations</w:t>
      </w:r>
    </w:p>
    <w:p>
      <w:pPr>
        <w:pStyle w:val="Author"/>
      </w:pPr>
      <w:r>
        <w:t xml:space="preserve">Delta-Team</w:t>
      </w:r>
      <w:r>
        <w:t xml:space="preserve"> </w:t>
      </w:r>
      <w:r>
        <w:t xml:space="preserve">(operator</w:t>
      </w:r>
      <w:r>
        <w:t xml:space="preserve"> </w:t>
      </w:r>
      <w:r>
        <w:t xml:space="preserve">Dinesh,</w:t>
      </w:r>
      <w:r>
        <w:t xml:space="preserve"> </w:t>
      </w:r>
      <w:r>
        <w:t xml:space="preserve">with</w:t>
      </w:r>
      <w:r>
        <w:t xml:space="preserve"> </w:t>
      </w:r>
      <w:r>
        <w:t xml:space="preserve">Claude)</w:t>
      </w:r>
    </w:p>
    <w:p>
      <w:pPr>
        <w:pStyle w:val="Date"/>
      </w:pPr>
      <w:r>
        <w:t xml:space="preserve">8</w:t>
      </w:r>
      <w:r>
        <w:t xml:space="preserve"> </w:t>
      </w:r>
      <w:r>
        <w:t xml:space="preserve">October</w:t>
      </w:r>
      <w:r>
        <w:t xml:space="preserve"> </w:t>
      </w:r>
      <w:r>
        <w:t xml:space="preserve">2026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Purpose</w:t>
            </w:r>
          </w:p>
        </w:tc>
        <w:tc>
          <w:tcPr/>
          <w:p>
            <w:pPr>
              <w:pStyle w:val="Compact"/>
              <w:jc w:val="left"/>
            </w:pPr>
            <w:r>
              <w:t xml:space="preserve">One readable account of the whole engagement for the CTO: what we inherited, what we changed, how we proved it, what is still open, and what we need</w:t>
            </w:r>
          </w:p>
        </w:tc>
      </w:tr>
      <w:tr>
        <w:tc>
          <w:tcPr/>
          <w:p>
            <w:pPr>
              <w:pStyle w:val="Compact"/>
              <w:jc w:val="left"/>
            </w:pPr>
            <w:r>
              <w:t xml:space="preserve">Version</w:t>
            </w:r>
          </w:p>
        </w:tc>
        <w:tc>
          <w:tcPr/>
          <w:p>
            <w:pPr>
              <w:pStyle w:val="Compact"/>
              <w:jc w:val="left"/>
            </w:pPr>
            <w:r>
              <w:t xml:space="preserve">v1.0</w:t>
            </w:r>
          </w:p>
        </w:tc>
      </w:tr>
      <w:tr>
        <w:tc>
          <w:tcPr/>
          <w:p>
            <w:pPr>
              <w:pStyle w:val="Compact"/>
              <w:jc w:val="left"/>
            </w:pPr>
            <w:r>
              <w:t xml:space="preserve">Date</w:t>
            </w:r>
          </w:p>
        </w:tc>
        <w:tc>
          <w:tcPr/>
          <w:p>
            <w:pPr>
              <w:pStyle w:val="Compact"/>
              <w:jc w:val="left"/>
            </w:pPr>
            <w:r>
              <w:t xml:space="preserve">2026-10-08</w:t>
            </w:r>
          </w:p>
        </w:tc>
      </w:tr>
      <w:tr>
        <w:tc>
          <w:tcPr/>
          <w:p>
            <w:pPr>
              <w:pStyle w:val="Compact"/>
              <w:jc w:val="left"/>
            </w:pPr>
            <w:r>
              <w:t xml:space="preserve">Author / Agent</w:t>
            </w:r>
          </w:p>
        </w:tc>
        <w:tc>
          <w:tcPr/>
          <w:p>
            <w:pPr>
              <w:pStyle w:val="Compact"/>
              <w:jc w:val="left"/>
            </w:pPr>
            <w:r>
              <w:t xml:space="preserve">Claude Code agent, operator Dinesh</w:t>
            </w:r>
          </w:p>
        </w:tc>
      </w:tr>
      <w:tr>
        <w:tc>
          <w:tcPr/>
          <w:p>
            <w:pPr>
              <w:pStyle w:val="Compact"/>
              <w:jc w:val="left"/>
            </w:pPr>
            <w:r>
              <w:t xml:space="preserve">Status</w:t>
            </w:r>
          </w:p>
        </w:tc>
        <w:tc>
          <w:tcPr/>
          <w:p>
            <w:pPr>
              <w:pStyle w:val="Compact"/>
              <w:jc w:val="left"/>
            </w:pPr>
            <w:r>
              <w:t xml:space="preserve">Final draft for CTO review</w:t>
            </w:r>
          </w:p>
        </w:tc>
      </w:tr>
      <w:tr>
        <w:tc>
          <w:tcPr/>
          <w:p>
            <w:pPr>
              <w:pStyle w:val="Compact"/>
              <w:jc w:val="left"/>
            </w:pPr>
            <w:r>
              <w:t xml:space="preserve">Evidence sources</w:t>
            </w:r>
          </w:p>
        </w:tc>
        <w:tc>
          <w:tcPr/>
          <w:p>
            <w:pPr>
              <w:pStyle w:val="Compact"/>
              <w:jc w:val="left"/>
            </w:pPr>
            <w:r>
              <w:t xml:space="preserve">Every figure below is taken from a file in the repository; the evidence register (03-Evidence-Register.xlsx) lists all 146 hashed evidence files</w:t>
            </w:r>
          </w:p>
        </w:tc>
      </w:tr>
      <w:tr>
        <w:tc>
          <w:tcPr/>
          <w:p>
            <w:pPr>
              <w:pStyle w:val="Compact"/>
              <w:jc w:val="left"/>
            </w:pPr>
            <w:r>
              <w:t xml:space="preserve">Companion files</w:t>
            </w:r>
          </w:p>
        </w:tc>
        <w:tc>
          <w:tcPr/>
          <w:p>
            <w:pPr>
              <w:pStyle w:val="Compact"/>
              <w:jc w:val="left"/>
            </w:pPr>
            <w:r>
              <w:t xml:space="preserve">02-CTO-Presentation.pptx (slides), 03-Evidence-Register.xlsx (evidence), diagrams/ (editable diagrams)</w:t>
            </w:r>
          </w:p>
        </w:tc>
      </w:tr>
    </w:tbl>
    <w:p>
      <w:pPr>
        <w:pStyle w:val="BodyText"/>
      </w:pPr>
      <w:r>
        <w:t xml:space="preserve">Tags used in the source documents:</w:t>
      </w:r>
      <w:r>
        <w:t xml:space="preserve"> </w:t>
      </w:r>
      <w:r>
        <w:rPr>
          <w:bCs/>
          <w:b/>
        </w:rPr>
        <w:t xml:space="preserve">[VF]</w:t>
      </w:r>
      <w:r>
        <w:t xml:space="preserve"> </w:t>
      </w:r>
      <w:r>
        <w:t xml:space="preserve">verified fact,</w:t>
      </w:r>
      <w:r>
        <w:t xml:space="preserve"> </w:t>
      </w:r>
      <w:r>
        <w:rPr>
          <w:bCs/>
          <w:b/>
        </w:rPr>
        <w:t xml:space="preserve">[INF]</w:t>
      </w:r>
      <w:r>
        <w:t xml:space="preserve"> </w:t>
      </w:r>
      <w:r>
        <w:t xml:space="preserve">inference,</w:t>
      </w:r>
      <w:r>
        <w:t xml:space="preserve"> </w:t>
      </w:r>
      <w:r>
        <w:rPr>
          <w:bCs/>
          <w:b/>
        </w:rPr>
        <w:t xml:space="preserve">[ASM]</w:t>
      </w:r>
      <w:r>
        <w:t xml:space="preserve"> </w:t>
      </w:r>
      <w:r>
        <w:t xml:space="preserve">assumption,</w:t>
      </w:r>
      <w:r>
        <w:t xml:space="preserve"> </w:t>
      </w:r>
      <w:r>
        <w:rPr>
          <w:bCs/>
          <w:b/>
        </w:rPr>
        <w:t xml:space="preserve">[UNK]</w:t>
      </w:r>
      <w:r>
        <w:t xml:space="preserve"> </w:t>
      </w:r>
      <w:r>
        <w:t xml:space="preserve">unknown.</w:t>
      </w:r>
    </w:p>
    <w:bookmarkStart w:id="20" w:name="the-answer-in-one-page"/>
    <w:p>
      <w:pPr>
        <w:pStyle w:val="Heading1"/>
      </w:pPr>
      <w:r>
        <w:t xml:space="preserve">1. The answer in one page</w:t>
      </w:r>
    </w:p>
    <w:p>
      <w:pPr>
        <w:pStyle w:val="FirstParagraph"/>
      </w:pPr>
      <w:r>
        <w:t xml:space="preserve">We were handed a logistics operations repository (Repo 1.0) whose own quick-start failed. It let any caller claim any role through a request header, and its AI endpoint answered with no authorisation and no guardrail. A missed lookup returned a different record, and its audit trail could not say who did what.</w:t>
      </w:r>
    </w:p>
    <w:p>
      <w:pPr>
        <w:pStyle w:val="BodyText"/>
      </w:pPr>
      <w:r>
        <w:t xml:space="preserve">We froze that behaviour in tests, found and ranked 62 problems, replaced the unsafe paths with tested controls (Repo 2.0), and proved the change: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Repo 1.0</w:t>
            </w:r>
          </w:p>
        </w:tc>
        <w:tc>
          <w:tcPr/>
          <w:p>
            <w:pPr>
              <w:pStyle w:val="Compact"/>
              <w:jc w:val="left"/>
            </w:pPr>
            <w:r>
              <w:t xml:space="preserve">Repo 2.0</w:t>
            </w:r>
          </w:p>
        </w:tc>
      </w:tr>
      <w:tr>
        <w:tc>
          <w:tcPr/>
          <w:p>
            <w:pPr>
              <w:pStyle w:val="Compact"/>
              <w:jc w:val="left"/>
            </w:pPr>
            <w:r>
              <w:t xml:space="preserve">The same 12 attacks</w:t>
            </w:r>
          </w:p>
        </w:tc>
        <w:tc>
          <w:tcPr/>
          <w:p>
            <w:pPr>
              <w:pStyle w:val="Compact"/>
              <w:jc w:val="left"/>
            </w:pPr>
            <w:r>
              <w:t xml:space="preserve">10 succeed</w:t>
            </w:r>
          </w:p>
        </w:tc>
        <w:tc>
          <w:tcPr/>
          <w:p>
            <w:pPr>
              <w:pStyle w:val="Compact"/>
              <w:jc w:val="left"/>
            </w:pPr>
            <w:r>
              <w:rPr>
                <w:bCs/>
                <w:b/>
              </w:rPr>
              <w:t xml:space="preserve">0 succeed</w:t>
            </w:r>
          </w:p>
        </w:tc>
      </w:tr>
      <w:tr>
        <w:tc>
          <w:tcPr/>
          <w:p>
            <w:pPr>
              <w:pStyle w:val="Compact"/>
              <w:jc w:val="left"/>
            </w:pPr>
            <w:r>
              <w:t xml:space="preserve">Tests passing</w:t>
            </w:r>
          </w:p>
        </w:tc>
        <w:tc>
          <w:tcPr/>
          <w:p>
            <w:pPr>
              <w:pStyle w:val="Compact"/>
              <w:jc w:val="left"/>
            </w:pPr>
            <w:r>
              <w:t xml:space="preserve">3 (0 collected without</w:t>
            </w:r>
            <w:r>
              <w:t xml:space="preserve"> </w:t>
            </w:r>
            <w:r>
              <w:rPr>
                <w:rStyle w:val="VerbatimChar"/>
              </w:rPr>
              <w:t xml:space="preserve">httpx</w:t>
            </w:r>
            <w:r>
              <w:t xml:space="preserve">)</w:t>
            </w:r>
          </w:p>
        </w:tc>
        <w:tc>
          <w:tcPr/>
          <w:p>
            <w:pPr>
              <w:pStyle w:val="Compact"/>
              <w:jc w:val="left"/>
            </w:pPr>
            <w:r>
              <w:rPr>
                <w:bCs/>
                <w:b/>
              </w:rPr>
              <w:t xml:space="preserve">181</w:t>
            </w:r>
            <w:r>
              <w:t xml:space="preserve"> </w:t>
            </w:r>
            <w:r>
              <w:t xml:space="preserve">(plus 7 that pin old behaviour on purpose)</w:t>
            </w:r>
          </w:p>
        </w:tc>
      </w:tr>
      <w:tr>
        <w:tc>
          <w:tcPr/>
          <w:p>
            <w:pPr>
              <w:pStyle w:val="Compact"/>
              <w:jc w:val="left"/>
            </w:pPr>
            <w:r>
              <w:t xml:space="preserve">Test coverage, application and ETL</w:t>
            </w:r>
          </w:p>
        </w:tc>
        <w:tc>
          <w:tcPr/>
          <w:p>
            <w:pPr>
              <w:pStyle w:val="Compact"/>
              <w:jc w:val="left"/>
            </w:pPr>
            <w:r>
              <w:t xml:space="preserve">45%</w:t>
            </w:r>
          </w:p>
        </w:tc>
        <w:tc>
          <w:tcPr/>
          <w:p>
            <w:pPr>
              <w:pStyle w:val="Compact"/>
              <w:jc w:val="left"/>
            </w:pPr>
            <w:r>
              <w:rPr>
                <w:bCs/>
                <w:b/>
              </w:rPr>
              <w:t xml:space="preserve">97%</w:t>
            </w:r>
          </w:p>
        </w:tc>
      </w:tr>
      <w:tr>
        <w:tc>
          <w:tcPr/>
          <w:p>
            <w:pPr>
              <w:pStyle w:val="Compact"/>
              <w:jc w:val="left"/>
            </w:pPr>
            <w:r>
              <w:t xml:space="preserve">CI</w:t>
            </w:r>
          </w:p>
        </w:tc>
        <w:tc>
          <w:tcPr/>
          <w:p>
            <w:pPr>
              <w:pStyle w:val="Compact"/>
              <w:jc w:val="left"/>
            </w:pPr>
            <w:r>
              <w:t xml:space="preserve">never run</w:t>
            </w:r>
          </w:p>
        </w:tc>
        <w:tc>
          <w:tcPr/>
          <w:p>
            <w:pPr>
              <w:pStyle w:val="Compact"/>
              <w:jc w:val="left"/>
            </w:pPr>
            <w:r>
              <w:t xml:space="preserve">green on Python 3.11 and 3.14</w:t>
            </w:r>
          </w:p>
        </w:tc>
      </w:tr>
      <w:tr>
        <w:tc>
          <w:tcPr/>
          <w:p>
            <w:pPr>
              <w:pStyle w:val="Compact"/>
              <w:jc w:val="left"/>
            </w:pPr>
            <w:r>
              <w:t xml:space="preserve">Evidence</w:t>
            </w:r>
          </w:p>
        </w:tc>
        <w:tc>
          <w:tcPr/>
          <w:p>
            <w:pPr>
              <w:pStyle w:val="Compact"/>
              <w:jc w:val="left"/>
            </w:pPr>
            <w:r>
              <w:t xml:space="preserve">none</w:t>
            </w:r>
          </w:p>
        </w:tc>
        <w:tc>
          <w:tcPr/>
          <w:p>
            <w:pPr>
              <w:pStyle w:val="Compact"/>
              <w:jc w:val="left"/>
            </w:pPr>
            <w:r>
              <w:rPr>
                <w:bCs/>
                <w:b/>
              </w:rPr>
              <w:t xml:space="preserve">146</w:t>
            </w:r>
            <w:r>
              <w:t xml:space="preserve"> </w:t>
            </w:r>
            <w:r>
              <w:t xml:space="preserve">hashed files; 203 of 203 document citations verified</w:t>
            </w:r>
          </w:p>
        </w:tc>
      </w:tr>
    </w:tbl>
    <w:p>
      <w:pPr>
        <w:pStyle w:val="BodyText"/>
      </w:pPr>
      <w:r>
        <w:rPr>
          <w:bCs/>
          <w:b/>
        </w:rPr>
        <w:t xml:space="preserve">Decision (recommendation, not an approval):</w:t>
      </w:r>
    </w:p>
    <w:p>
      <w:pPr>
        <w:numPr>
          <w:ilvl w:val="0"/>
          <w:numId w:val="1001"/>
        </w:numPr>
        <w:pStyle w:val="Compact"/>
      </w:pPr>
      <w:r>
        <w:rPr>
          <w:bCs/>
          <w:b/>
        </w:rPr>
        <w:t xml:space="preserve">NO-GO</w:t>
      </w:r>
      <w:r>
        <w:t xml:space="preserve"> </w:t>
      </w:r>
      <w:r>
        <w:t xml:space="preserve">for production on real data. 5 of 12 readiness gates fail, and closing them needs people and a platform, not more code.</w:t>
      </w:r>
    </w:p>
    <w:p>
      <w:pPr>
        <w:numPr>
          <w:ilvl w:val="0"/>
          <w:numId w:val="1001"/>
        </w:numPr>
        <w:pStyle w:val="Compact"/>
      </w:pPr>
      <w:r>
        <w:rPr>
          <w:bCs/>
          <w:b/>
        </w:rPr>
        <w:t xml:space="preserve">CONDITIONAL GO</w:t>
      </w:r>
      <w:r>
        <w:t xml:space="preserve"> </w:t>
      </w:r>
      <w:r>
        <w:t xml:space="preserve">for a controlled pilot on synthetic data, in a local or test environment.</w:t>
      </w:r>
    </w:p>
    <w:p>
      <w:pPr>
        <w:pStyle w:val="FirstParagraph"/>
      </w:pPr>
      <w:r>
        <w:rPr>
          <w:bCs/>
          <w:b/>
        </w:rPr>
        <w:t xml:space="preserve">Not proven, stated up front:</w:t>
      </w:r>
    </w:p>
    <w:p>
      <w:pPr>
        <w:numPr>
          <w:ilvl w:val="0"/>
          <w:numId w:val="1002"/>
        </w:numPr>
        <w:pStyle w:val="Compact"/>
      </w:pPr>
      <w:r>
        <w:t xml:space="preserve">No real AI model was ever called.</w:t>
      </w:r>
    </w:p>
    <w:p>
      <w:pPr>
        <w:numPr>
          <w:ilvl w:val="0"/>
          <w:numId w:val="1002"/>
        </w:numPr>
        <w:pStyle w:val="Compact"/>
      </w:pPr>
      <w:r>
        <w:t xml:space="preserve">Nothing is deployed.</w:t>
      </w:r>
    </w:p>
    <w:p>
      <w:pPr>
        <w:numPr>
          <w:ilvl w:val="0"/>
          <w:numId w:val="1002"/>
        </w:numPr>
        <w:pStyle w:val="Compact"/>
      </w:pPr>
      <w:r>
        <w:t xml:space="preserve">No business KPI moved.</w:t>
      </w:r>
    </w:p>
    <w:p>
      <w:pPr>
        <w:numPr>
          <w:ilvl w:val="0"/>
          <w:numId w:val="1002"/>
        </w:numPr>
        <w:pStyle w:val="Compact"/>
      </w:pPr>
      <w:r>
        <w:t xml:space="preserve">One operator and one agent built, tested and graded everything; there was no independent review.</w:t>
      </w:r>
    </w:p>
    <w:bookmarkEnd w:id="20"/>
    <w:bookmarkStart w:id="24" w:name="the-journey-from-start-to-goal"/>
    <w:p>
      <w:pPr>
        <w:pStyle w:val="Heading1"/>
      </w:pPr>
      <w:r>
        <w:t xml:space="preserve">2. The journey from start to goal</w:t>
      </w:r>
    </w:p>
    <w:p>
      <w:pPr>
        <w:pStyle w:val="CaptionedFigure"/>
      </w:pPr>
      <w:r>
        <w:drawing>
          <wp:inline>
            <wp:extent cx="5334000" cy="3267075"/>
            <wp:effectExtent b="0" l="0" r="0" t="0"/>
            <wp:docPr descr="Delivery journey" title="" id="22" name="Picture"/>
            <a:graphic>
              <a:graphicData uri="http://schemas.openxmlformats.org/drawingml/2006/picture">
                <pic:pic>
                  <pic:nvPicPr>
                    <pic:cNvPr descr="diagrams/01-journey-start-to-goal.png" id="23" name="Picture"/>
                    <pic:cNvPicPr>
                      <a:picLocks noChangeArrowheads="1" noChangeAspect="1"/>
                    </pic:cNvPicPr>
                  </pic:nvPicPr>
                  <pic:blipFill>
                    <a:blip r:embed="rId21"/>
                    <a:stretch>
                      <a:fillRect/>
                    </a:stretch>
                  </pic:blipFill>
                  <pic:spPr bwMode="auto">
                    <a:xfrm>
                      <a:off x="0" y="0"/>
                      <a:ext cx="5334000" cy="3267075"/>
                    </a:xfrm>
                    <a:prstGeom prst="rect">
                      <a:avLst/>
                    </a:prstGeom>
                    <a:noFill/>
                    <a:ln w="9525">
                      <a:noFill/>
                      <a:headEnd/>
                      <a:tailEnd/>
                    </a:ln>
                  </pic:spPr>
                </pic:pic>
              </a:graphicData>
            </a:graphic>
          </wp:inline>
        </w:drawing>
      </w:r>
    </w:p>
    <w:p>
      <w:pPr>
        <w:pStyle w:val="ImageCaption"/>
      </w:pPr>
      <w:r>
        <w:t xml:space="preserve">Delivery journey</w:t>
      </w:r>
    </w:p>
    <w:p>
      <w:pPr>
        <w:pStyle w:val="BodyText"/>
      </w:pPr>
      <w:r>
        <w:t xml:space="preserve">The work followed a written runbook of 18 stages (A to R), plus two close-out stages: S, rubric traceability, and T, the 23 open decisions. The stages fall into six phases. Every stage ended at an exit gate before the next began.</w:t>
      </w:r>
    </w:p>
    <w:p>
      <w:pPr>
        <w:pStyle w:val="BodyText"/>
      </w:pPr>
      <w:r>
        <w:t xml:space="preserve">Every artifact carries a header block (stage, status, assumptions, risks). Every evidence file is hashed in its folder’s manifest, and every claim in a document cites a file path and its hash. The milestone row shows the git commits that recorded each step.</w:t>
      </w:r>
    </w:p>
    <w:bookmarkEnd w:id="24"/>
    <w:bookmarkStart w:id="29" w:name="what-we-inherited-repo-1.0"/>
    <w:p>
      <w:pPr>
        <w:pStyle w:val="Heading1"/>
      </w:pPr>
      <w:r>
        <w:t xml:space="preserve">3. What we inherited: Repo 1.0</w:t>
      </w:r>
    </w:p>
    <w:p>
      <w:pPr>
        <w:pStyle w:val="CaptionedFigure"/>
      </w:pPr>
      <w:r>
        <w:drawing>
          <wp:inline>
            <wp:extent cx="5334000" cy="3267075"/>
            <wp:effectExtent b="0" l="0" r="0" t="0"/>
            <wp:docPr descr="Repo 1.0 architecture" title="" id="26" name="Picture"/>
            <a:graphic>
              <a:graphicData uri="http://schemas.openxmlformats.org/drawingml/2006/picture">
                <pic:pic>
                  <pic:nvPicPr>
                    <pic:cNvPr descr="diagrams/02-architecture-repo-1.0.png" id="27" name="Picture"/>
                    <pic:cNvPicPr>
                      <a:picLocks noChangeArrowheads="1" noChangeAspect="1"/>
                    </pic:cNvPicPr>
                  </pic:nvPicPr>
                  <pic:blipFill>
                    <a:blip r:embed="rId25"/>
                    <a:stretch>
                      <a:fillRect/>
                    </a:stretch>
                  </pic:blipFill>
                  <pic:spPr bwMode="auto">
                    <a:xfrm>
                      <a:off x="0" y="0"/>
                      <a:ext cx="5334000" cy="3267075"/>
                    </a:xfrm>
                    <a:prstGeom prst="rect">
                      <a:avLst/>
                    </a:prstGeom>
                    <a:noFill/>
                    <a:ln w="9525">
                      <a:noFill/>
                      <a:headEnd/>
                      <a:tailEnd/>
                    </a:ln>
                  </pic:spPr>
                </pic:pic>
              </a:graphicData>
            </a:graphic>
          </wp:inline>
        </w:drawing>
      </w:r>
    </w:p>
    <w:p>
      <w:pPr>
        <w:pStyle w:val="ImageCaption"/>
      </w:pPr>
      <w:r>
        <w:t xml:space="preserve">Repo 1.0 architecture</w:t>
      </w:r>
    </w:p>
    <w:p>
      <w:pPr>
        <w:pStyle w:val="BodyText"/>
      </w:pPr>
      <w:r>
        <w:t xml:space="preserve">Three engineering generations sat side by side with no control point between caller and data:</w:t>
      </w:r>
    </w:p>
    <w:p>
      <w:pPr>
        <w:numPr>
          <w:ilvl w:val="0"/>
          <w:numId w:val="1003"/>
        </w:numPr>
        <w:pStyle w:val="Compact"/>
      </w:pPr>
      <w:r>
        <w:t xml:space="preserve">Legacy batch scripts.</w:t>
      </w:r>
    </w:p>
    <w:p>
      <w:pPr>
        <w:numPr>
          <w:ilvl w:val="0"/>
          <w:numId w:val="1003"/>
        </w:numPr>
        <w:pStyle w:val="Compact"/>
      </w:pPr>
      <w:r>
        <w:t xml:space="preserve">A partly modernised FastAPI service.</w:t>
      </w:r>
    </w:p>
    <w:p>
      <w:pPr>
        <w:numPr>
          <w:ilvl w:val="0"/>
          <w:numId w:val="1003"/>
        </w:numPr>
        <w:pStyle w:val="Compact"/>
      </w:pPr>
      <w:r>
        <w:t xml:space="preserve">An AI gateway.</w:t>
      </w:r>
    </w:p>
    <w:p>
      <w:pPr>
        <w:pStyle w:val="FirstParagraph"/>
      </w:pPr>
      <w:r>
        <w:t xml:space="preserve">Files for policy, Terraform and CI existed but did nothing. The documentation promised ETA prediction, route optimisation and an exception copilot, none of which existed in code. The system was about 140 lines of application code with 3 tests.</w:t>
      </w:r>
    </w:p>
    <w:bookmarkStart w:id="28" w:name="findings-and-root-causes"/>
    <w:p>
      <w:pPr>
        <w:pStyle w:val="Heading2"/>
      </w:pPr>
      <w:r>
        <w:t xml:space="preserve">3.1 Findings and root causes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Final disposition</w:t>
            </w:r>
          </w:p>
        </w:tc>
        <w:tc>
          <w:tcPr/>
          <w:p>
            <w:pPr>
              <w:pStyle w:val="Compact"/>
              <w:jc w:val="left"/>
            </w:pPr>
            <w:r>
              <w:t xml:space="preserve">Count</w:t>
            </w:r>
          </w:p>
        </w:tc>
      </w:tr>
      <w:tr>
        <w:tc>
          <w:tcPr/>
          <w:p>
            <w:pPr>
              <w:pStyle w:val="Compact"/>
              <w:jc w:val="left"/>
            </w:pPr>
            <w:r>
              <w:t xml:space="preserve">Fixed</w:t>
            </w:r>
          </w:p>
        </w:tc>
        <w:tc>
          <w:tcPr/>
          <w:p>
            <w:pPr>
              <w:pStyle w:val="Compact"/>
              <w:jc w:val="left"/>
            </w:pPr>
            <w:r>
              <w:t xml:space="preserve">43</w:t>
            </w:r>
          </w:p>
        </w:tc>
      </w:tr>
      <w:tr>
        <w:tc>
          <w:tcPr/>
          <w:p>
            <w:pPr>
              <w:pStyle w:val="Compact"/>
              <w:jc w:val="left"/>
            </w:pPr>
            <w:r>
              <w:t xml:space="preserve">Fixed in the tree (credentials stay in git history)</w:t>
            </w:r>
          </w:p>
        </w:tc>
        <w:tc>
          <w:tcPr/>
          <w:p>
            <w:pPr>
              <w:pStyle w:val="Compact"/>
              <w:jc w:val="left"/>
            </w:pPr>
            <w:r>
              <w:t xml:space="preserve">4</w:t>
            </w:r>
          </w:p>
        </w:tc>
      </w:tr>
      <w:tr>
        <w:tc>
          <w:tcPr/>
          <w:p>
            <w:pPr>
              <w:pStyle w:val="Compact"/>
              <w:jc w:val="left"/>
            </w:pPr>
            <w:r>
              <w:t xml:space="preserve">Partial</w:t>
            </w:r>
          </w:p>
        </w:tc>
        <w:tc>
          <w:tcPr/>
          <w:p>
            <w:pPr>
              <w:pStyle w:val="Compact"/>
              <w:jc w:val="left"/>
            </w:pPr>
            <w:r>
              <w:t xml:space="preserve">10</w:t>
            </w:r>
          </w:p>
        </w:tc>
      </w:tr>
      <w:tr>
        <w:tc>
          <w:tcPr/>
          <w:p>
            <w:pPr>
              <w:pStyle w:val="Compact"/>
              <w:jc w:val="left"/>
            </w:pPr>
            <w:r>
              <w:t xml:space="preserve">Changed by decision</w:t>
            </w:r>
          </w:p>
        </w:tc>
        <w:tc>
          <w:tcPr/>
          <w:p>
            <w:pPr>
              <w:pStyle w:val="Compact"/>
              <w:jc w:val="left"/>
            </w:pPr>
            <w:r>
              <w:t xml:space="preserve">2</w:t>
            </w:r>
          </w:p>
        </w:tc>
      </w:tr>
      <w:tr>
        <w:tc>
          <w:tcPr/>
          <w:p>
            <w:pPr>
              <w:pStyle w:val="Compact"/>
              <w:jc w:val="left"/>
            </w:pPr>
            <w:r>
              <w:t xml:space="preserve">Deferred</w:t>
            </w:r>
          </w:p>
        </w:tc>
        <w:tc>
          <w:tcPr/>
          <w:p>
            <w:pPr>
              <w:pStyle w:val="Compact"/>
              <w:jc w:val="left"/>
            </w:pPr>
            <w:r>
              <w:t xml:space="preserve">2</w:t>
            </w:r>
          </w:p>
        </w:tc>
      </w:tr>
      <w:tr>
        <w:tc>
          <w:tcPr/>
          <w:p>
            <w:pPr>
              <w:pStyle w:val="Compact"/>
              <w:jc w:val="left"/>
            </w:pPr>
            <w:r>
              <w:t xml:space="preserve">Proposed for acceptance</w:t>
            </w:r>
          </w:p>
        </w:tc>
        <w:tc>
          <w:tcPr/>
          <w:p>
            <w:pPr>
              <w:pStyle w:val="Compact"/>
              <w:jc w:val="left"/>
            </w:pPr>
            <w:r>
              <w:t xml:space="preserve">1</w:t>
            </w:r>
          </w:p>
        </w:tc>
      </w:tr>
      <w:tr>
        <w:tc>
          <w:tcPr/>
          <w:p>
            <w:pPr>
              <w:pStyle w:val="Compact"/>
              <w:jc w:val="left"/>
            </w:pPr>
            <w:r>
              <w:rPr>
                <w:bCs/>
                <w:b/>
              </w:rPr>
              <w:t xml:space="preserve">Total</w:t>
            </w:r>
            <w:r>
              <w:t xml:space="preserve"> </w:t>
            </w:r>
            <w:r>
              <w:t xml:space="preserve">(25 of them severity S1)</w:t>
            </w:r>
          </w:p>
        </w:tc>
        <w:tc>
          <w:tcPr/>
          <w:p>
            <w:pPr>
              <w:pStyle w:val="Compact"/>
              <w:jc w:val="left"/>
            </w:pPr>
            <w:r>
              <w:rPr>
                <w:bCs/>
                <w:b/>
              </w:rPr>
              <w:t xml:space="preserve">62</w:t>
            </w:r>
          </w:p>
        </w:tc>
      </w:tr>
    </w:tbl>
    <w:p>
      <w:pPr>
        <w:pStyle w:val="BodyText"/>
      </w:pPr>
      <w:r>
        <w:t xml:space="preserve">Five root causes explain why the defects existed:</w:t>
      </w:r>
    </w:p>
    <w:p>
      <w:pPr>
        <w:numPr>
          <w:ilvl w:val="0"/>
          <w:numId w:val="1004"/>
        </w:numPr>
        <w:pStyle w:val="Compact"/>
      </w:pPr>
      <w:r>
        <w:rPr>
          <w:bCs/>
          <w:b/>
        </w:rPr>
        <w:t xml:space="preserve">RC-1 No governance by design:</w:t>
      </w:r>
      <w:r>
        <w:t xml:space="preserve"> </w:t>
      </w:r>
      <w:r>
        <w:t xml:space="preserve">the old decision to keep legacy code beside the API (ADR-0001) was never revisited. This one is plausible but unconfirmed until an owner is interviewed.</w:t>
      </w:r>
    </w:p>
    <w:p>
      <w:pPr>
        <w:numPr>
          <w:ilvl w:val="0"/>
          <w:numId w:val="1004"/>
        </w:numPr>
        <w:pStyle w:val="Compact"/>
      </w:pPr>
      <w:r>
        <w:rPr>
          <w:bCs/>
          <w:b/>
        </w:rPr>
        <w:t xml:space="preserve">RC-2 Identity not modelled.</w:t>
      </w:r>
    </w:p>
    <w:p>
      <w:pPr>
        <w:numPr>
          <w:ilvl w:val="0"/>
          <w:numId w:val="1004"/>
        </w:numPr>
        <w:pStyle w:val="Compact"/>
      </w:pPr>
      <w:r>
        <w:rPr>
          <w:bCs/>
          <w:b/>
        </w:rPr>
        <w:t xml:space="preserve">RC-3 No data contracts.</w:t>
      </w:r>
    </w:p>
    <w:p>
      <w:pPr>
        <w:numPr>
          <w:ilvl w:val="0"/>
          <w:numId w:val="1004"/>
        </w:numPr>
        <w:pStyle w:val="Compact"/>
      </w:pPr>
      <w:r>
        <w:rPr>
          <w:bCs/>
          <w:b/>
        </w:rPr>
        <w:t xml:space="preserve">RC-4 AI unguarded by design.</w:t>
      </w:r>
    </w:p>
    <w:p>
      <w:pPr>
        <w:numPr>
          <w:ilvl w:val="0"/>
          <w:numId w:val="1004"/>
        </w:numPr>
        <w:pStyle w:val="Compact"/>
      </w:pPr>
      <w:r>
        <w:rPr>
          <w:bCs/>
          <w:b/>
        </w:rPr>
        <w:t xml:space="preserve">RC-5 No evidence produced as a by-product.</w:t>
      </w:r>
    </w:p>
    <w:p>
      <w:pPr>
        <w:pStyle w:val="FirstParagraph"/>
      </w:pPr>
      <w:r>
        <w:t xml:space="preserve">The full list of findings is the</w:t>
      </w:r>
      <w:r>
        <w:t xml:space="preserve"> </w:t>
      </w:r>
      <w:r>
        <w:rPr>
          <w:iCs/>
          <w:i/>
        </w:rPr>
        <w:t xml:space="preserve">Findings</w:t>
      </w:r>
      <w:r>
        <w:t xml:space="preserve"> </w:t>
      </w:r>
      <w:r>
        <w:t xml:space="preserve">sheet of the evidence register.</w:t>
      </w:r>
    </w:p>
    <w:bookmarkEnd w:id="28"/>
    <w:bookmarkEnd w:id="29"/>
    <w:bookmarkStart w:id="34" w:name="what-we-built-repo-2.0"/>
    <w:p>
      <w:pPr>
        <w:pStyle w:val="Heading1"/>
      </w:pPr>
      <w:r>
        <w:t xml:space="preserve">4. What we built: Repo 2.0</w:t>
      </w:r>
    </w:p>
    <w:p>
      <w:pPr>
        <w:pStyle w:val="CaptionedFigure"/>
      </w:pPr>
      <w:r>
        <w:drawing>
          <wp:inline>
            <wp:extent cx="5334000" cy="3267075"/>
            <wp:effectExtent b="0" l="0" r="0" t="0"/>
            <wp:docPr descr="Repo 2.0 architecture" title="" id="31" name="Picture"/>
            <a:graphic>
              <a:graphicData uri="http://schemas.openxmlformats.org/drawingml/2006/picture">
                <pic:pic>
                  <pic:nvPicPr>
                    <pic:cNvPr descr="diagrams/03-architecture-repo-2.0.png" id="32" name="Picture"/>
                    <pic:cNvPicPr>
                      <a:picLocks noChangeArrowheads="1" noChangeAspect="1"/>
                    </pic:cNvPicPr>
                  </pic:nvPicPr>
                  <pic:blipFill>
                    <a:blip r:embed="rId30"/>
                    <a:stretch>
                      <a:fillRect/>
                    </a:stretch>
                  </pic:blipFill>
                  <pic:spPr bwMode="auto">
                    <a:xfrm>
                      <a:off x="0" y="0"/>
                      <a:ext cx="5334000" cy="3267075"/>
                    </a:xfrm>
                    <a:prstGeom prst="rect">
                      <a:avLst/>
                    </a:prstGeom>
                    <a:noFill/>
                    <a:ln w="9525">
                      <a:noFill/>
                      <a:headEnd/>
                      <a:tailEnd/>
                    </a:ln>
                  </pic:spPr>
                </pic:pic>
              </a:graphicData>
            </a:graphic>
          </wp:inline>
        </w:drawing>
      </w:r>
    </w:p>
    <w:p>
      <w:pPr>
        <w:pStyle w:val="ImageCaption"/>
      </w:pPr>
      <w:r>
        <w:t xml:space="preserve">Repo 2.0 architecture</w:t>
      </w:r>
    </w:p>
    <w:p>
      <w:pPr>
        <w:pStyle w:val="BodyText"/>
      </w:pPr>
      <w:r>
        <w:t xml:space="preserve">Repo 2.0 is a modular monolith with ports. We chose it over hardening the old monolith or splitting it into services, because the system is too small for network boundaries to pay for themselves. Its main features:</w:t>
      </w:r>
    </w:p>
    <w:p>
      <w:pPr>
        <w:numPr>
          <w:ilvl w:val="0"/>
          <w:numId w:val="1005"/>
        </w:numPr>
        <w:pStyle w:val="Compact"/>
      </w:pPr>
      <w:r>
        <w:rPr>
          <w:bCs/>
          <w:b/>
        </w:rPr>
        <w:t xml:space="preserve">One control point.</w:t>
      </w:r>
      <w:r>
        <w:t xml:space="preserve"> </w:t>
      </w:r>
      <w:r>
        <w:t xml:space="preserve">Every request passes a token check and a deny-by-default policy engine. The engine reads its rules from the semantic layer (persona, entity, purpose, field mask) and generates the Rego policy that CI tests.</w:t>
      </w:r>
    </w:p>
    <w:p>
      <w:pPr>
        <w:numPr>
          <w:ilvl w:val="0"/>
          <w:numId w:val="1005"/>
        </w:numPr>
        <w:pStyle w:val="Compact"/>
      </w:pPr>
      <w:r>
        <w:rPr>
          <w:bCs/>
          <w:b/>
        </w:rPr>
        <w:t xml:space="preserve">An AI gateway that only suggests.</w:t>
      </w:r>
      <w:r>
        <w:t xml:space="preserve"> </w:t>
      </w:r>
      <w:r>
        <w:t xml:space="preserve">It sees allow-listed fields only, checks its own output, and falls back or abstains rather than return an invalid answer. A person must approve or reject every suggestion, once.</w:t>
      </w:r>
    </w:p>
    <w:p>
      <w:pPr>
        <w:numPr>
          <w:ilvl w:val="0"/>
          <w:numId w:val="1005"/>
        </w:numPr>
        <w:pStyle w:val="Compact"/>
      </w:pPr>
      <w:r>
        <w:rPr>
          <w:bCs/>
          <w:b/>
        </w:rPr>
        <w:t xml:space="preserve">Validated data.</w:t>
      </w:r>
      <w:r>
        <w:t xml:space="preserve"> </w:t>
      </w:r>
      <w:r>
        <w:t xml:space="preserve">Data goes through the same validation rules as the API. Bad rows are quarantined, never silently fixed, and the synthetic fixture stays byte-identical.</w:t>
      </w:r>
    </w:p>
    <w:p>
      <w:pPr>
        <w:numPr>
          <w:ilvl w:val="0"/>
          <w:numId w:val="1005"/>
        </w:numPr>
        <w:pStyle w:val="Compact"/>
      </w:pPr>
      <w:r>
        <w:rPr>
          <w:bCs/>
          <w:b/>
        </w:rPr>
        <w:t xml:space="preserve">Hash-chained audit.</w:t>
      </w:r>
      <w:r>
        <w:t xml:space="preserve"> </w:t>
      </w:r>
      <w:r>
        <w:t xml:space="preserve">Every event records actor, correlation id, tenant and the policy decision, and a verify endpoint detects tampering.</w:t>
      </w:r>
    </w:p>
    <w:p>
      <w:pPr>
        <w:pStyle w:val="FirstParagraph"/>
      </w:pPr>
      <w:r>
        <w:t xml:space="preserve">Grey dashed boxes in the diagram are not built because they need owner decisions: identity provider, real model, platform and infrastructure, tracing collector.</w:t>
      </w:r>
    </w:p>
    <w:bookmarkStart w:id="33" w:name="repo-1.0-against-repo-2.0"/>
    <w:p>
      <w:pPr>
        <w:pStyle w:val="Heading2"/>
      </w:pPr>
      <w:r>
        <w:t xml:space="preserve">4.1 Repo 1.0 against Repo 2.0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Area</w:t>
            </w:r>
          </w:p>
        </w:tc>
        <w:tc>
          <w:tcPr/>
          <w:p>
            <w:pPr>
              <w:pStyle w:val="Compact"/>
              <w:jc w:val="left"/>
            </w:pPr>
            <w:r>
              <w:t xml:space="preserve">Repo 1.0 (as delivered)</w:t>
            </w:r>
          </w:p>
        </w:tc>
        <w:tc>
          <w:tcPr/>
          <w:p>
            <w:pPr>
              <w:pStyle w:val="Compact"/>
              <w:jc w:val="left"/>
            </w:pPr>
            <w:r>
              <w:t xml:space="preserve">Repo 2.0 (as built)</w:t>
            </w:r>
          </w:p>
        </w:tc>
        <w:tc>
          <w:tcPr/>
          <w:p>
            <w:pPr>
              <w:pStyle w:val="Compact"/>
              <w:jc w:val="left"/>
            </w:pPr>
            <w:r>
              <w:t xml:space="preserve">Status</w:t>
            </w:r>
          </w:p>
        </w:tc>
      </w:tr>
      <w:tr>
        <w:tc>
          <w:tcPr/>
          <w:p>
            <w:pPr>
              <w:pStyle w:val="Compact"/>
              <w:jc w:val="left"/>
            </w:pPr>
            <w:r>
              <w:t xml:space="preserve">Quick-start and tests</w:t>
            </w:r>
          </w:p>
        </w:tc>
        <w:tc>
          <w:tcPr/>
          <w:p>
            <w:pPr>
              <w:pStyle w:val="Compact"/>
              <w:jc w:val="left"/>
            </w:pPr>
            <w:r>
              <w:t xml:space="preserve">Test command fails; 3 tests; 45% coverage</w:t>
            </w:r>
          </w:p>
        </w:tc>
        <w:tc>
          <w:tcPr/>
          <w:p>
            <w:pPr>
              <w:pStyle w:val="Compact"/>
              <w:jc w:val="left"/>
            </w:pPr>
            <w:r>
              <w:t xml:space="preserve">Works; 181 tests; 97% coverage; CI green</w:t>
            </w:r>
          </w:p>
        </w:tc>
        <w:tc>
          <w:tcPr/>
          <w:p>
            <w:pPr>
              <w:pStyle w:val="Compact"/>
              <w:jc w:val="left"/>
            </w:pPr>
            <w:r>
              <w:t xml:space="preserve">Fixed</w:t>
            </w:r>
          </w:p>
        </w:tc>
      </w:tr>
      <w:tr>
        <w:tc>
          <w:tcPr/>
          <w:p>
            <w:pPr>
              <w:pStyle w:val="Compact"/>
              <w:jc w:val="left"/>
            </w:pPr>
            <w:r>
              <w:t xml:space="preserve">Identity</w:t>
            </w:r>
          </w:p>
        </w:tc>
        <w:tc>
          <w:tcPr/>
          <w:p>
            <w:pPr>
              <w:pStyle w:val="Compact"/>
              <w:jc w:val="left"/>
            </w:pPr>
            <w:r>
              <w:t xml:space="preserve">Role taken from a request header</w:t>
            </w:r>
          </w:p>
        </w:tc>
        <w:tc>
          <w:tcPr/>
          <w:p>
            <w:pPr>
              <w:pStyle w:val="Compact"/>
              <w:jc w:val="left"/>
            </w:pPr>
            <w:r>
              <w:t xml:space="preserve">Signed token, forged tokens rejected; no identity provider yet</w:t>
            </w:r>
          </w:p>
        </w:tc>
        <w:tc>
          <w:tcPr/>
          <w:p>
            <w:pPr>
              <w:pStyle w:val="Compact"/>
              <w:jc w:val="left"/>
            </w:pPr>
            <w:r>
              <w:t xml:space="preserve">Fixed (interim)</w:t>
            </w:r>
          </w:p>
        </w:tc>
      </w:tr>
      <w:tr>
        <w:tc>
          <w:tcPr/>
          <w:p>
            <w:pPr>
              <w:pStyle w:val="Compact"/>
              <w:jc w:val="left"/>
            </w:pPr>
            <w:r>
              <w:t xml:space="preserve">Authorisation</w:t>
            </w:r>
          </w:p>
        </w:tc>
        <w:tc>
          <w:tcPr/>
          <w:p>
            <w:pPr>
              <w:pStyle w:val="Compact"/>
              <w:jc w:val="left"/>
            </w:pPr>
            <w:r>
              <w:t xml:space="preserve">Flat allow-list; policy file unused</w:t>
            </w:r>
          </w:p>
        </w:tc>
        <w:tc>
          <w:tcPr/>
          <w:p>
            <w:pPr>
              <w:pStyle w:val="Compact"/>
              <w:jc w:val="left"/>
            </w:pPr>
            <w:r>
              <w:t xml:space="preserve">Deny by default; persona, entity, purpose; policy generated and tested; scope narrowing declared but not enforced</w:t>
            </w:r>
          </w:p>
        </w:tc>
        <w:tc>
          <w:tcPr/>
          <w:p>
            <w:pPr>
              <w:pStyle w:val="Compact"/>
              <w:jc w:val="left"/>
            </w:pPr>
            <w:r>
              <w:t xml:space="preserve">Fixed (scope partial)</w:t>
            </w:r>
          </w:p>
        </w:tc>
      </w:tr>
      <w:tr>
        <w:tc>
          <w:tcPr/>
          <w:p>
            <w:pPr>
              <w:pStyle w:val="Compact"/>
              <w:jc w:val="left"/>
            </w:pPr>
            <w:r>
              <w:t xml:space="preserve">Record lookup</w:t>
            </w:r>
          </w:p>
        </w:tc>
        <w:tc>
          <w:tcPr/>
          <w:p>
            <w:pPr>
              <w:pStyle w:val="Compact"/>
              <w:jc w:val="left"/>
            </w:pPr>
            <w:r>
              <w:t xml:space="preserve">Any column; wrong record on a miss</w:t>
            </w:r>
          </w:p>
        </w:tc>
        <w:tc>
          <w:tcPr/>
          <w:p>
            <w:pPr>
              <w:pStyle w:val="Compact"/>
              <w:jc w:val="left"/>
            </w:pPr>
            <w:r>
              <w:t xml:space="preserve">Key pattern enforced; 404 on a miss; colliding rows quarantined</w:t>
            </w:r>
          </w:p>
        </w:tc>
        <w:tc>
          <w:tcPr/>
          <w:p>
            <w:pPr>
              <w:pStyle w:val="Compact"/>
              <w:jc w:val="left"/>
            </w:pPr>
            <w:r>
              <w:t xml:space="preserve">Fixed</w:t>
            </w:r>
          </w:p>
        </w:tc>
      </w:tr>
      <w:tr>
        <w:tc>
          <w:tcPr/>
          <w:p>
            <w:pPr>
              <w:pStyle w:val="Compact"/>
              <w:jc w:val="left"/>
            </w:pPr>
            <w:r>
              <w:t xml:space="preserve">AI endpoint</w:t>
            </w:r>
          </w:p>
        </w:tc>
        <w:tc>
          <w:tcPr/>
          <w:p>
            <w:pPr>
              <w:pStyle w:val="Compact"/>
              <w:jc w:val="left"/>
            </w:pPr>
            <w:r>
              <w:t xml:space="preserve">No auth; guardrail off; no schema</w:t>
            </w:r>
          </w:p>
        </w:tc>
        <w:tc>
          <w:tcPr/>
          <w:p>
            <w:pPr>
              <w:pStyle w:val="Compact"/>
              <w:jc w:val="left"/>
            </w:pPr>
            <w:r>
              <w:t xml:space="preserve">Authorised, rate-limited, allow-listed context, checked output, suggest-only</w:t>
            </w:r>
          </w:p>
        </w:tc>
        <w:tc>
          <w:tcPr/>
          <w:p>
            <w:pPr>
              <w:pStyle w:val="Compact"/>
              <w:jc w:val="left"/>
            </w:pPr>
            <w:r>
              <w:t xml:space="preserve">Fixed (no model)</w:t>
            </w:r>
          </w:p>
        </w:tc>
      </w:tr>
      <w:tr>
        <w:tc>
          <w:tcPr/>
          <w:p>
            <w:pPr>
              <w:pStyle w:val="Compact"/>
              <w:jc w:val="left"/>
            </w:pPr>
            <w:r>
              <w:t xml:space="preserve">Human approval</w:t>
            </w:r>
          </w:p>
        </w:tc>
        <w:tc>
          <w:tcPr/>
          <w:p>
            <w:pPr>
              <w:pStyle w:val="Compact"/>
              <w:jc w:val="left"/>
            </w:pPr>
            <w:r>
              <w:t xml:space="preserve">None</w:t>
            </w:r>
          </w:p>
        </w:tc>
        <w:tc>
          <w:tcPr/>
          <w:p>
            <w:pPr>
              <w:pStyle w:val="Compact"/>
              <w:jc w:val="left"/>
            </w:pPr>
            <w:r>
              <w:t xml:space="preserve">Approve or reject once; self-approval still possible</w:t>
            </w:r>
          </w:p>
        </w:tc>
        <w:tc>
          <w:tcPr/>
          <w:p>
            <w:pPr>
              <w:pStyle w:val="Compact"/>
              <w:jc w:val="left"/>
            </w:pPr>
            <w:r>
              <w:t xml:space="preserve">Fixed (no four-eyes)</w:t>
            </w:r>
          </w:p>
        </w:tc>
      </w:tr>
      <w:tr>
        <w:tc>
          <w:tcPr/>
          <w:p>
            <w:pPr>
              <w:pStyle w:val="Compact"/>
              <w:jc w:val="left"/>
            </w:pPr>
            <w:r>
              <w:t xml:space="preserve">Audit</w:t>
            </w:r>
          </w:p>
        </w:tc>
        <w:tc>
          <w:tcPr/>
          <w:p>
            <w:pPr>
              <w:pStyle w:val="Compact"/>
              <w:jc w:val="left"/>
            </w:pPr>
            <w:r>
              <w:t xml:space="preserve">Time and action only</w:t>
            </w:r>
          </w:p>
        </w:tc>
        <w:tc>
          <w:tcPr/>
          <w:p>
            <w:pPr>
              <w:pStyle w:val="Compact"/>
              <w:jc w:val="left"/>
            </w:pPr>
            <w:r>
              <w:t xml:space="preserve">Hash-chained; who, purpose, decision; tampering detected; still a local file</w:t>
            </w:r>
          </w:p>
        </w:tc>
        <w:tc>
          <w:tcPr/>
          <w:p>
            <w:pPr>
              <w:pStyle w:val="Compact"/>
              <w:jc w:val="left"/>
            </w:pPr>
            <w:r>
              <w:t xml:space="preserve">Partial</w:t>
            </w:r>
          </w:p>
        </w:tc>
      </w:tr>
      <w:tr>
        <w:tc>
          <w:tcPr/>
          <w:p>
            <w:pPr>
              <w:pStyle w:val="Compact"/>
              <w:jc w:val="left"/>
            </w:pPr>
            <w:r>
              <w:t xml:space="preserve">Data quality</w:t>
            </w:r>
          </w:p>
        </w:tc>
        <w:tc>
          <w:tcPr/>
          <w:p>
            <w:pPr>
              <w:pStyle w:val="Compact"/>
              <w:jc w:val="left"/>
            </w:pPr>
            <w:r>
              <w:t xml:space="preserve">Defects counted, then discarded</w:t>
            </w:r>
          </w:p>
        </w:tc>
        <w:tc>
          <w:tcPr/>
          <w:p>
            <w:pPr>
              <w:pStyle w:val="Compact"/>
              <w:jc w:val="left"/>
            </w:pPr>
            <w:r>
              <w:t xml:space="preserve">Validated, quarantined, curated layer</w:t>
            </w:r>
          </w:p>
        </w:tc>
        <w:tc>
          <w:tcPr/>
          <w:p>
            <w:pPr>
              <w:pStyle w:val="Compact"/>
              <w:jc w:val="left"/>
            </w:pPr>
            <w:r>
              <w:t xml:space="preserve">Fixed</w:t>
            </w:r>
          </w:p>
        </w:tc>
      </w:tr>
      <w:tr>
        <w:tc>
          <w:tcPr/>
          <w:p>
            <w:pPr>
              <w:pStyle w:val="Compact"/>
              <w:jc w:val="left"/>
            </w:pPr>
            <w:r>
              <w:t xml:space="preserve">Observability</w:t>
            </w:r>
          </w:p>
        </w:tc>
        <w:tc>
          <w:tcPr/>
          <w:p>
            <w:pPr>
              <w:pStyle w:val="Compact"/>
              <w:jc w:val="left"/>
            </w:pPr>
            <w:r>
              <w:t xml:space="preserve">Notes only</w:t>
            </w:r>
          </w:p>
        </w:tc>
        <w:tc>
          <w:tcPr/>
          <w:p>
            <w:pPr>
              <w:pStyle w:val="Compact"/>
              <w:jc w:val="left"/>
            </w:pPr>
            <w:r>
              <w:t xml:space="preserve">Correlation id, metrics, KPI endpoint; no tracing</w:t>
            </w:r>
          </w:p>
        </w:tc>
        <w:tc>
          <w:tcPr/>
          <w:p>
            <w:pPr>
              <w:pStyle w:val="Compact"/>
              <w:jc w:val="left"/>
            </w:pPr>
            <w:r>
              <w:t xml:space="preserve">Partial</w:t>
            </w:r>
          </w:p>
        </w:tc>
      </w:tr>
      <w:tr>
        <w:tc>
          <w:tcPr/>
          <w:p>
            <w:pPr>
              <w:pStyle w:val="Compact"/>
              <w:jc w:val="left"/>
            </w:pPr>
            <w:r>
              <w:t xml:space="preserve">CI and change control</w:t>
            </w:r>
          </w:p>
        </w:tc>
        <w:tc>
          <w:tcPr/>
          <w:p>
            <w:pPr>
              <w:pStyle w:val="Compact"/>
              <w:jc w:val="left"/>
            </w:pPr>
            <w:r>
              <w:t xml:space="preserve">Never run</w:t>
            </w:r>
          </w:p>
        </w:tc>
        <w:tc>
          <w:tcPr/>
          <w:p>
            <w:pPr>
              <w:pStyle w:val="Compact"/>
              <w:jc w:val="left"/>
            </w:pPr>
            <w:r>
              <w:t xml:space="preserve">Green on two Python versions; PR template, CODEOWNERS; branch protection not enabled</w:t>
            </w:r>
          </w:p>
        </w:tc>
        <w:tc>
          <w:tcPr/>
          <w:p>
            <w:pPr>
              <w:pStyle w:val="Compact"/>
              <w:jc w:val="left"/>
            </w:pPr>
            <w:r>
              <w:t xml:space="preserve">Partial</w:t>
            </w:r>
          </w:p>
        </w:tc>
      </w:tr>
      <w:tr>
        <w:tc>
          <w:tcPr/>
          <w:p>
            <w:pPr>
              <w:pStyle w:val="Compact"/>
              <w:jc w:val="left"/>
            </w:pPr>
            <w:r>
              <w:t xml:space="preserve">Secrets</w:t>
            </w:r>
          </w:p>
        </w:tc>
        <w:tc>
          <w:tcPr/>
          <w:p>
            <w:pPr>
              <w:pStyle w:val="Compact"/>
              <w:jc w:val="left"/>
            </w:pPr>
            <w:r>
              <w:t xml:space="preserve">In source and</w:t>
            </w:r>
            <w:r>
              <w:t xml:space="preserve"> </w:t>
            </w:r>
            <w:r>
              <w:rPr>
                <w:rStyle w:val="VerbatimChar"/>
              </w:rPr>
              <w:t xml:space="preserve">.env.example</w:t>
            </w:r>
          </w:p>
        </w:tc>
        <w:tc>
          <w:tcPr/>
          <w:p>
            <w:pPr>
              <w:pStyle w:val="Compact"/>
              <w:jc w:val="left"/>
            </w:pPr>
            <w:r>
              <w:t xml:space="preserve">Removed from the tree; history kept; repository private; values treated as compromised</w:t>
            </w:r>
          </w:p>
        </w:tc>
        <w:tc>
          <w:tcPr/>
          <w:p>
            <w:pPr>
              <w:pStyle w:val="Compact"/>
              <w:jc w:val="left"/>
            </w:pPr>
            <w:r>
              <w:t xml:space="preserve">Fixed in tree</w:t>
            </w:r>
          </w:p>
        </w:tc>
      </w:tr>
      <w:tr>
        <w:tc>
          <w:tcPr/>
          <w:p>
            <w:pPr>
              <w:pStyle w:val="Compact"/>
              <w:jc w:val="left"/>
            </w:pPr>
            <w:r>
              <w:t xml:space="preserve">Infrastructure</w:t>
            </w:r>
          </w:p>
        </w:tc>
        <w:tc>
          <w:tcPr/>
          <w:p>
            <w:pPr>
              <w:pStyle w:val="Compact"/>
              <w:jc w:val="left"/>
            </w:pPr>
            <w:r>
              <w:t xml:space="preserve">Terraform writes one local file</w:t>
            </w:r>
          </w:p>
        </w:tc>
        <w:tc>
          <w:tcPr/>
          <w:p>
            <w:pPr>
              <w:pStyle w:val="Compact"/>
              <w:jc w:val="left"/>
            </w:pPr>
            <w:r>
              <w:t xml:space="preserve">Container recipe; nothing provisioned; platform-neutral by decision</w:t>
            </w:r>
          </w:p>
        </w:tc>
        <w:tc>
          <w:tcPr/>
          <w:p>
            <w:pPr>
              <w:pStyle w:val="Compact"/>
              <w:jc w:val="left"/>
            </w:pPr>
            <w:r>
              <w:t xml:space="preserve">Deferred</w:t>
            </w:r>
          </w:p>
        </w:tc>
      </w:tr>
    </w:tbl>
    <w:p>
      <w:pPr>
        <w:pStyle w:val="BodyText"/>
      </w:pPr>
      <w:r>
        <w:t xml:space="preserve">The workbook’s</w:t>
      </w:r>
      <w:r>
        <w:t xml:space="preserve"> </w:t>
      </w:r>
      <w:r>
        <w:rPr>
          <w:iCs/>
          <w:i/>
        </w:rPr>
        <w:t xml:space="preserve">Repo 1.0 vs 2.0</w:t>
      </w:r>
      <w:r>
        <w:t xml:space="preserve"> </w:t>
      </w:r>
      <w:r>
        <w:t xml:space="preserve">sheet has all 20 areas, with the findings and evidence file for each. Its</w:t>
      </w:r>
      <w:r>
        <w:t xml:space="preserve"> </w:t>
      </w:r>
      <w:r>
        <w:rPr>
          <w:iCs/>
          <w:i/>
        </w:rPr>
        <w:t xml:space="preserve">File Inventory</w:t>
      </w:r>
      <w:r>
        <w:t xml:space="preserve"> </w:t>
      </w:r>
      <w:r>
        <w:t xml:space="preserve">sheet compares the two versions: 51 files and 197 code lines in Repo 1.0, against 158 files and 9,281 code lines in Repo 2.0, counted with git.</w:t>
      </w:r>
    </w:p>
    <w:bookmarkEnd w:id="33"/>
    <w:bookmarkEnd w:id="34"/>
    <w:bookmarkStart w:id="42" w:name="how-we-proved-it"/>
    <w:p>
      <w:pPr>
        <w:pStyle w:val="Heading1"/>
      </w:pPr>
      <w:r>
        <w:t xml:space="preserve">5. How we proved it</w:t>
      </w:r>
    </w:p>
    <w:bookmarkStart w:id="35" w:name="the-same-12-attacks-before-and-after"/>
    <w:p>
      <w:pPr>
        <w:pStyle w:val="Heading2"/>
      </w:pPr>
      <w:r>
        <w:t xml:space="preserve">5.1 The same 12 attacks, before and after</w:t>
      </w:r>
    </w:p>
    <w:p>
      <w:pPr>
        <w:pStyle w:val="FirstParagraph"/>
      </w:pPr>
      <w:r>
        <w:t xml:space="preserve">Ten of twelve attacks succeeded against Repo 1.0; none succeed against Repo 2.0. Two attacks did not succeed even against Repo 1.0: smuggling text through a category field (RT-08), and actioning a suggestion with no approval step, which failed because the route did not exist (RT-10). The</w:t>
      </w:r>
      <w:r>
        <w:t xml:space="preserve"> </w:t>
      </w:r>
      <w:r>
        <w:rPr>
          <w:iCs/>
          <w:i/>
        </w:rPr>
        <w:t xml:space="preserve">Red Team</w:t>
      </w:r>
      <w:r>
        <w:t xml:space="preserve"> </w:t>
      </w:r>
      <w:r>
        <w:t xml:space="preserve">sheet of the evidence register lists each attack and the HTTP status it returned. This was our own red team, not an independent one.</w:t>
      </w:r>
    </w:p>
    <w:bookmarkEnd w:id="35"/>
    <w:bookmarkStart w:id="39" w:name="one-ai-request-before-and-after"/>
    <w:p>
      <w:pPr>
        <w:pStyle w:val="Heading2"/>
      </w:pPr>
      <w:r>
        <w:t xml:space="preserve">5.2 One AI request, before and after</w:t>
      </w:r>
    </w:p>
    <w:p>
      <w:pPr>
        <w:pStyle w:val="CaptionedFigure"/>
      </w:pPr>
      <w:r>
        <w:drawing>
          <wp:inline>
            <wp:extent cx="5334000" cy="3267075"/>
            <wp:effectExtent b="0" l="0" r="0" t="0"/>
            <wp:docPr descr="AI request path" title="" id="37" name="Picture"/>
            <a:graphic>
              <a:graphicData uri="http://schemas.openxmlformats.org/drawingml/2006/picture">
                <pic:pic>
                  <pic:nvPicPr>
                    <pic:cNvPr descr="diagrams/04-ai-request-path-v1-vs-v2.png" id="38" name="Picture"/>
                    <pic:cNvPicPr>
                      <a:picLocks noChangeArrowheads="1" noChangeAspect="1"/>
                    </pic:cNvPicPr>
                  </pic:nvPicPr>
                  <pic:blipFill>
                    <a:blip r:embed="rId36"/>
                    <a:stretch>
                      <a:fillRect/>
                    </a:stretch>
                  </pic:blipFill>
                  <pic:spPr bwMode="auto">
                    <a:xfrm>
                      <a:off x="0" y="0"/>
                      <a:ext cx="5334000" cy="3267075"/>
                    </a:xfrm>
                    <a:prstGeom prst="rect">
                      <a:avLst/>
                    </a:prstGeom>
                    <a:noFill/>
                    <a:ln w="9525">
                      <a:noFill/>
                      <a:headEnd/>
                      <a:tailEnd/>
                    </a:ln>
                  </pic:spPr>
                </pic:pic>
              </a:graphicData>
            </a:graphic>
          </wp:inline>
        </w:drawing>
      </w:r>
    </w:p>
    <w:p>
      <w:pPr>
        <w:pStyle w:val="ImageCaption"/>
      </w:pPr>
      <w:r>
        <w:t xml:space="preserve">AI request path</w:t>
      </w:r>
    </w:p>
    <w:bookmarkEnd w:id="39"/>
    <w:bookmarkStart w:id="40" w:name="other-proof"/>
    <w:p>
      <w:pPr>
        <w:pStyle w:val="Heading2"/>
      </w:pPr>
      <w:r>
        <w:t xml:space="preserve">5.3 Other proof</w:t>
      </w:r>
    </w:p>
    <w:p>
      <w:pPr>
        <w:numPr>
          <w:ilvl w:val="0"/>
          <w:numId w:val="1006"/>
        </w:numPr>
        <w:pStyle w:val="Compact"/>
      </w:pPr>
      <w:r>
        <w:t xml:space="preserve">5 failure drills pass:</w:t>
      </w:r>
    </w:p>
    <w:p>
      <w:pPr>
        <w:numPr>
          <w:ilvl w:val="1"/>
          <w:numId w:val="1007"/>
        </w:numPr>
        <w:pStyle w:val="Compact"/>
      </w:pPr>
      <w:r>
        <w:t xml:space="preserve">missing correlation ids</w:t>
      </w:r>
    </w:p>
    <w:p>
      <w:pPr>
        <w:numPr>
          <w:ilvl w:val="1"/>
          <w:numId w:val="1007"/>
        </w:numPr>
        <w:pStyle w:val="Compact"/>
      </w:pPr>
      <w:r>
        <w:t xml:space="preserve">AI gateway timeout</w:t>
      </w:r>
    </w:p>
    <w:p>
      <w:pPr>
        <w:numPr>
          <w:ilvl w:val="1"/>
          <w:numId w:val="1007"/>
        </w:numPr>
        <w:pStyle w:val="Compact"/>
      </w:pPr>
      <w:r>
        <w:t xml:space="preserve">duplicate replay</w:t>
      </w:r>
    </w:p>
    <w:p>
      <w:pPr>
        <w:numPr>
          <w:ilvl w:val="1"/>
          <w:numId w:val="1007"/>
        </w:numPr>
        <w:pStyle w:val="Compact"/>
      </w:pPr>
      <w:r>
        <w:t xml:space="preserve">stale master data</w:t>
      </w:r>
    </w:p>
    <w:p>
      <w:pPr>
        <w:numPr>
          <w:ilvl w:val="1"/>
          <w:numId w:val="1007"/>
        </w:numPr>
        <w:pStyle w:val="Compact"/>
      </w:pPr>
      <w:r>
        <w:t xml:space="preserve">partial batch failure</w:t>
      </w:r>
    </w:p>
    <w:p>
      <w:pPr>
        <w:numPr>
          <w:ilvl w:val="0"/>
          <w:numId w:val="1006"/>
        </w:numPr>
        <w:pStyle w:val="Compact"/>
      </w:pPr>
      <w:r>
        <w:t xml:space="preserve">A backup was restored on the synthetic fixture.</w:t>
      </w:r>
    </w:p>
    <w:p>
      <w:pPr>
        <w:numPr>
          <w:ilvl w:val="0"/>
          <w:numId w:val="1006"/>
        </w:numPr>
        <w:pStyle w:val="Compact"/>
      </w:pPr>
      <w:r>
        <w:t xml:space="preserve">One business event was reconstructed end to end from the audit trail.</w:t>
      </w:r>
    </w:p>
    <w:p>
      <w:pPr>
        <w:numPr>
          <w:ilvl w:val="0"/>
          <w:numId w:val="1006"/>
        </w:numPr>
        <w:pStyle w:val="Compact"/>
      </w:pPr>
      <w:r>
        <w:t xml:space="preserve">Supply chain: 0 known dependency vulnerabilities, and an SBOM of 21 runtime and 58 development components.</w:t>
      </w:r>
    </w:p>
    <w:p>
      <w:pPr>
        <w:numPr>
          <w:ilvl w:val="0"/>
          <w:numId w:val="1006"/>
        </w:numPr>
        <w:pStyle w:val="Compact"/>
      </w:pPr>
      <w:r>
        <w:t xml:space="preserve">AI evaluation: 192 cases, 0 failures, on the deterministic provider only.</w:t>
      </w:r>
    </w:p>
    <w:bookmarkEnd w:id="40"/>
    <w:bookmarkStart w:id="41" w:name="business-kpis-did-not-move-and-could-not"/>
    <w:p>
      <w:pPr>
        <w:pStyle w:val="Heading2"/>
      </w:pPr>
      <w:r>
        <w:t xml:space="preserve">5.4 Business KPIs did not move, and could not</w:t>
      </w:r>
    </w:p>
    <w:p>
      <w:pPr>
        <w:pStyle w:val="FirstParagraph"/>
      </w:pPr>
      <w:r>
        <w:t xml:space="preserve">KPIs K1 to K8 are computed from a static synthetic fixture that the intervention does not touch. They are identical before and after, which is the honest and expected result. Only engineering health improved (K9 tests, K10 coverage). No monetary benefit is verified. In the benefit model, which is expressed in analyst-hours, the expected net value at fixture volume is negative.</w:t>
      </w:r>
    </w:p>
    <w:bookmarkEnd w:id="41"/>
    <w:bookmarkEnd w:id="42"/>
    <w:bookmarkStart w:id="46" w:name="X4a8548f0dc9fc53302e60cc61a03980fbec6033"/>
    <w:p>
      <w:pPr>
        <w:pStyle w:val="Heading1"/>
      </w:pPr>
      <w:r>
        <w:t xml:space="preserve">6. The semantic layer and the second-model test</w:t>
      </w:r>
    </w:p>
    <w:p>
      <w:pPr>
        <w:pStyle w:val="CaptionedFigure"/>
      </w:pPr>
      <w:r>
        <w:drawing>
          <wp:inline>
            <wp:extent cx="5334000" cy="3267075"/>
            <wp:effectExtent b="0" l="0" r="0" t="0"/>
            <wp:docPr descr="Semantic layer" title="" id="44" name="Picture"/>
            <a:graphic>
              <a:graphicData uri="http://schemas.openxmlformats.org/drawingml/2006/picture">
                <pic:pic>
                  <pic:nvPicPr>
                    <pic:cNvPr descr="diagrams/06-semantic-layer.png" id="45" name="Picture"/>
                    <pic:cNvPicPr>
                      <a:picLocks noChangeArrowheads="1" noChangeAspect="1"/>
                    </pic:cNvPicPr>
                  </pic:nvPicPr>
                  <pic:blipFill>
                    <a:blip r:embed="rId43"/>
                    <a:stretch>
                      <a:fillRect/>
                    </a:stretch>
                  </pic:blipFill>
                  <pic:spPr bwMode="auto">
                    <a:xfrm>
                      <a:off x="0" y="0"/>
                      <a:ext cx="5334000" cy="3267075"/>
                    </a:xfrm>
                    <a:prstGeom prst="rect">
                      <a:avLst/>
                    </a:prstGeom>
                    <a:noFill/>
                    <a:ln w="9525">
                      <a:noFill/>
                      <a:headEnd/>
                      <a:tailEnd/>
                    </a:ln>
                  </pic:spPr>
                </pic:pic>
              </a:graphicData>
            </a:graphic>
          </wp:inline>
        </w:drawing>
      </w:r>
    </w:p>
    <w:p>
      <w:pPr>
        <w:pStyle w:val="ImageCaption"/>
      </w:pPr>
      <w:r>
        <w:t xml:space="preserve">Semantic layer</w:t>
      </w:r>
    </w:p>
    <w:p>
      <w:pPr>
        <w:pStyle w:val="BodyText"/>
      </w:pPr>
      <w:r>
        <w:t xml:space="preserve">The business meaning of the system is held in portable files, independent of both the code and any AI model:</w:t>
      </w:r>
    </w:p>
    <w:p>
      <w:pPr>
        <w:numPr>
          <w:ilvl w:val="0"/>
          <w:numId w:val="1008"/>
        </w:numPr>
        <w:pStyle w:val="Compact"/>
      </w:pPr>
      <w:r>
        <w:t xml:space="preserve">Markdown for people.</w:t>
      </w:r>
    </w:p>
    <w:p>
      <w:pPr>
        <w:numPr>
          <w:ilvl w:val="0"/>
          <w:numId w:val="1008"/>
        </w:numPr>
        <w:pStyle w:val="Compact"/>
      </w:pPr>
      <w:r>
        <w:t xml:space="preserve">YAML definitions: entities, taxonomy, relationships, business rules (BR-01 to BR-13, plus 12 key and pattern rules), 10 metrics, access for 8 personas, AI context policy, workflow semantics.</w:t>
      </w:r>
    </w:p>
    <w:p>
      <w:pPr>
        <w:numPr>
          <w:ilvl w:val="0"/>
          <w:numId w:val="1008"/>
        </w:numPr>
        <w:pStyle w:val="Compact"/>
      </w:pPr>
      <w:r>
        <w:t xml:space="preserve">A JSON Schema for validation.</w:t>
      </w:r>
    </w:p>
    <w:p>
      <w:pPr>
        <w:numPr>
          <w:ilvl w:val="0"/>
          <w:numId w:val="1008"/>
        </w:numPr>
        <w:pStyle w:val="Compact"/>
      </w:pPr>
      <w:r>
        <w:t xml:space="preserve">JSON for exchange.</w:t>
      </w:r>
    </w:p>
    <w:p>
      <w:pPr>
        <w:numPr>
          <w:ilvl w:val="0"/>
          <w:numId w:val="1008"/>
        </w:numPr>
        <w:pStyle w:val="Compact"/>
      </w:pPr>
      <w:r>
        <w:t xml:space="preserve">28 tests: 23 for the layer itself and 5 that check the application against it.</w:t>
      </w:r>
    </w:p>
    <w:p>
      <w:pPr>
        <w:pStyle w:val="FirstParagraph"/>
      </w:pPr>
      <w:r>
        <w:t xml:space="preserve">Version 2.0 was aligned to the capstone requirement (</w:t>
      </w:r>
      <w:r>
        <w:rPr>
          <w:rStyle w:val="VerbatimChar"/>
        </w:rPr>
        <w:t xml:space="preserve">semantic-layer-build.txt</w:t>
      </w:r>
      <w:r>
        <w:t xml:space="preserve">) after the transformation, as the requirement asks.</w:t>
      </w:r>
    </w:p>
    <w:p>
      <w:pPr>
        <w:pStyle w:val="BodyText"/>
      </w:pPr>
      <w:r>
        <w:t xml:space="preserve">To test portability, a second, smaller model of the same vendor family rebuilt part of the system in one blind attempt.</w:t>
      </w:r>
    </w:p>
    <w:p>
      <w:pPr>
        <w:pStyle w:val="BodyText"/>
      </w:pPr>
      <w:r>
        <w:t xml:space="preserve">What it was given:</w:t>
      </w:r>
    </w:p>
    <w:p>
      <w:pPr>
        <w:numPr>
          <w:ilvl w:val="0"/>
          <w:numId w:val="1009"/>
        </w:numPr>
        <w:pStyle w:val="Compact"/>
      </w:pPr>
      <w:r>
        <w:t xml:space="preserve">the semantic layer</w:t>
      </w:r>
    </w:p>
    <w:p>
      <w:pPr>
        <w:numPr>
          <w:ilvl w:val="0"/>
          <w:numId w:val="1009"/>
        </w:numPr>
        <w:pStyle w:val="Compact"/>
      </w:pPr>
      <w:r>
        <w:t xml:space="preserve">the PRD and the specifications</w:t>
      </w:r>
    </w:p>
    <w:p>
      <w:pPr>
        <w:numPr>
          <w:ilvl w:val="0"/>
          <w:numId w:val="1009"/>
        </w:numPr>
        <w:pStyle w:val="Compact"/>
      </w:pPr>
      <w:r>
        <w:t xml:space="preserve">a build brief</w:t>
      </w:r>
    </w:p>
    <w:p>
      <w:pPr>
        <w:pStyle w:val="FirstParagraph"/>
      </w:pPr>
      <w:r>
        <w:t xml:space="preserve">What it produced:</w:t>
      </w:r>
    </w:p>
    <w:p>
      <w:pPr>
        <w:numPr>
          <w:ilvl w:val="0"/>
          <w:numId w:val="1010"/>
        </w:numPr>
        <w:pStyle w:val="Compact"/>
      </w:pPr>
      <w:r>
        <w:rPr>
          <w:bCs/>
          <w:b/>
        </w:rPr>
        <w:t xml:space="preserve">Scope:</w:t>
      </w:r>
      <w:r>
        <w:t xml:space="preserve"> </w:t>
      </w:r>
      <w:r>
        <w:t xml:space="preserve">a four-behaviour subset of the application.</w:t>
      </w:r>
    </w:p>
    <w:p>
      <w:pPr>
        <w:numPr>
          <w:ilvl w:val="0"/>
          <w:numId w:val="1010"/>
        </w:numPr>
        <w:pStyle w:val="Compact"/>
      </w:pPr>
      <w:r>
        <w:rPr>
          <w:bCs/>
          <w:b/>
        </w:rPr>
        <w:t xml:space="preserve">Safety:</w:t>
      </w:r>
      <w:r>
        <w:t xml:space="preserve"> </w:t>
      </w:r>
      <w:r>
        <w:t xml:space="preserve">it matched the original on the safety behaviours this harness measures: 5 of 5 safety gates passed, and none of the 12 attacks succeeded. That attack result is partly vacuous. With the token used, three AI-path attacks (RT-08, RT-09, RT-12) never reached the AI path, and they passed only in an extra run with an</w:t>
      </w:r>
      <w:r>
        <w:t xml:space="preserve"> </w:t>
      </w:r>
      <w:r>
        <w:rPr>
          <w:rStyle w:val="VerbatimChar"/>
        </w:rPr>
        <w:t xml:space="preserve">ai_agent</w:t>
      </w:r>
      <w:r>
        <w:t xml:space="preserve"> </w:t>
      </w:r>
      <w:r>
        <w:t xml:space="preserve">token that was not pre-registered. It passed 21 of 24 black-box API checks. It also left scope narrowing and tenant filtering unenforced.</w:t>
      </w:r>
    </w:p>
    <w:p>
      <w:pPr>
        <w:numPr>
          <w:ilvl w:val="0"/>
          <w:numId w:val="1010"/>
        </w:numPr>
        <w:pStyle w:val="Compact"/>
      </w:pPr>
      <w:r>
        <w:rPr>
          <w:bCs/>
          <w:b/>
        </w:rPr>
        <w:t xml:space="preserve">AI output:</w:t>
      </w:r>
      <w:r>
        <w:t xml:space="preserve"> </w:t>
      </w:r>
      <w:r>
        <w:t xml:space="preserve">it did not match. Only 8 of 192 evaluation cases passed every strict check, against 192 of 192 for the original. It passed 0 of 2 fidelity gates: abstention scored 0.875 and recommendation class 0.1667, against a required 1.0.</w:t>
      </w:r>
    </w:p>
    <w:p>
      <w:pPr>
        <w:pStyle w:val="FirstParagraph"/>
      </w:pPr>
      <w:r>
        <w:t xml:space="preserve">The differences traced to eight places where the specification was silent. Version 2.0 now specifies all eight, but the test has not been repeated. The result is therefore</w:t>
      </w:r>
      <w:r>
        <w:t xml:space="preserve"> </w:t>
      </w:r>
      <w:r>
        <w:rPr>
          <w:iCs/>
          <w:i/>
        </w:rPr>
        <w:t xml:space="preserve">partly supported</w:t>
      </w:r>
      <w:r>
        <w:t xml:space="preserve">, not a demonstration of model independence.</w:t>
      </w:r>
    </w:p>
    <w:bookmarkEnd w:id="46"/>
    <w:bookmarkStart w:id="50" w:name="how-any-claim-traces-to-proof"/>
    <w:p>
      <w:pPr>
        <w:pStyle w:val="Heading1"/>
      </w:pPr>
      <w:r>
        <w:t xml:space="preserve">7. How any claim traces to proof</w:t>
      </w:r>
    </w:p>
    <w:p>
      <w:pPr>
        <w:pStyle w:val="CaptionedFigure"/>
      </w:pPr>
      <w:r>
        <w:drawing>
          <wp:inline>
            <wp:extent cx="5334000" cy="3267075"/>
            <wp:effectExtent b="0" l="0" r="0" t="0"/>
            <wp:docPr descr="Evidence chain" title="" id="48" name="Picture"/>
            <a:graphic>
              <a:graphicData uri="http://schemas.openxmlformats.org/drawingml/2006/picture">
                <pic:pic>
                  <pic:nvPicPr>
                    <pic:cNvPr descr="diagrams/05-evidence-chain.png" id="49" name="Picture"/>
                    <pic:cNvPicPr>
                      <a:picLocks noChangeArrowheads="1" noChangeAspect="1"/>
                    </pic:cNvPicPr>
                  </pic:nvPicPr>
                  <pic:blipFill>
                    <a:blip r:embed="rId47"/>
                    <a:stretch>
                      <a:fillRect/>
                    </a:stretch>
                  </pic:blipFill>
                  <pic:spPr bwMode="auto">
                    <a:xfrm>
                      <a:off x="0" y="0"/>
                      <a:ext cx="5334000" cy="3267075"/>
                    </a:xfrm>
                    <a:prstGeom prst="rect">
                      <a:avLst/>
                    </a:prstGeom>
                    <a:noFill/>
                    <a:ln w="9525">
                      <a:noFill/>
                      <a:headEnd/>
                      <a:tailEnd/>
                    </a:ln>
                  </pic:spPr>
                </pic:pic>
              </a:graphicData>
            </a:graphic>
          </wp:inline>
        </w:drawing>
      </w:r>
    </w:p>
    <w:p>
      <w:pPr>
        <w:pStyle w:val="ImageCaption"/>
      </w:pPr>
      <w:r>
        <w:t xml:space="preserve">Evidence chain</w:t>
      </w:r>
    </w:p>
    <w:p>
      <w:pPr>
        <w:pStyle w:val="BodyText"/>
      </w:pPr>
      <w:r>
        <w:t xml:space="preserve">Three scripts re-check the whole chain from the repository:</w:t>
      </w:r>
    </w:p>
    <w:p>
      <w:pPr>
        <w:numPr>
          <w:ilvl w:val="0"/>
          <w:numId w:val="1011"/>
        </w:numPr>
        <w:pStyle w:val="Compact"/>
      </w:pPr>
      <w:r>
        <w:rPr>
          <w:bCs/>
          <w:b/>
        </w:rPr>
        <w:t xml:space="preserve">Manifest check:</w:t>
      </w:r>
      <w:r>
        <w:t xml:space="preserve"> </w:t>
      </w:r>
      <w:r>
        <w:t xml:space="preserve">146 of 146 hashes match.</w:t>
      </w:r>
    </w:p>
    <w:p>
      <w:pPr>
        <w:numPr>
          <w:ilvl w:val="0"/>
          <w:numId w:val="1011"/>
        </w:numPr>
        <w:pStyle w:val="Compact"/>
      </w:pPr>
      <w:r>
        <w:rPr>
          <w:bCs/>
          <w:b/>
        </w:rPr>
        <w:t xml:space="preserve">Citation check:</w:t>
      </w:r>
      <w:r>
        <w:t xml:space="preserve"> </w:t>
      </w:r>
      <w:r>
        <w:t xml:space="preserve">203 of 203 citations match.</w:t>
      </w:r>
    </w:p>
    <w:p>
      <w:pPr>
        <w:numPr>
          <w:ilvl w:val="0"/>
          <w:numId w:val="1011"/>
        </w:numPr>
        <w:pStyle w:val="Compact"/>
      </w:pPr>
      <w:r>
        <w:rPr>
          <w:bCs/>
          <w:b/>
        </w:rPr>
        <w:t xml:space="preserve">Traceability check:</w:t>
      </w:r>
      <w:r>
        <w:t xml:space="preserve"> </w:t>
      </w:r>
      <w:r>
        <w:t xml:space="preserve">PASS.</w:t>
      </w:r>
    </w:p>
    <w:p>
      <w:pPr>
        <w:pStyle w:val="FirstParagraph"/>
      </w:pPr>
      <w:r>
        <w:t xml:space="preserve">Evidence is append-only: an older file is superseded by a newer one, never edited.</w:t>
      </w:r>
    </w:p>
    <w:bookmarkEnd w:id="50"/>
    <w:bookmarkStart w:id="51" w:name="rubric-evidence-coverage"/>
    <w:p>
      <w:pPr>
        <w:pStyle w:val="Heading1"/>
      </w:pPr>
      <w:r>
        <w:t xml:space="preserve">8. Rubric evidence coverage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Criterion</w:t>
            </w:r>
          </w:p>
        </w:tc>
        <w:tc>
          <w:tcPr/>
          <w:p>
            <w:pPr>
              <w:pStyle w:val="Compact"/>
              <w:jc w:val="left"/>
            </w:pPr>
            <w:r>
              <w:t xml:space="preserve">Marks</w:t>
            </w:r>
          </w:p>
        </w:tc>
        <w:tc>
          <w:tcPr/>
          <w:p>
            <w:pPr>
              <w:pStyle w:val="Compact"/>
              <w:jc w:val="left"/>
            </w:pPr>
            <w:r>
              <w:t xml:space="preserve">MET</w:t>
            </w:r>
          </w:p>
        </w:tc>
        <w:tc>
          <w:tcPr/>
          <w:p>
            <w:pPr>
              <w:pStyle w:val="Compact"/>
              <w:jc w:val="left"/>
            </w:pPr>
            <w:r>
              <w:t xml:space="preserve">PARTIAL</w:t>
            </w:r>
          </w:p>
        </w:tc>
        <w:tc>
          <w:tcPr/>
          <w:p>
            <w:pPr>
              <w:pStyle w:val="Compact"/>
              <w:jc w:val="left"/>
            </w:pPr>
            <w:r>
              <w:t xml:space="preserve">NOT MET</w:t>
            </w:r>
          </w:p>
        </w:tc>
        <w:tc>
          <w:tcPr/>
          <w:p>
            <w:pPr>
              <w:pStyle w:val="Compact"/>
              <w:jc w:val="left"/>
            </w:pPr>
            <w:r>
              <w:t xml:space="preserve">BLOCKED</w:t>
            </w:r>
          </w:p>
        </w:tc>
        <w:tc>
          <w:tcPr/>
          <w:p>
            <w:pPr>
              <w:pStyle w:val="Compact"/>
              <w:jc w:val="left"/>
            </w:pPr>
            <w:r>
              <w:t xml:space="preserve">Coverage index</w:t>
            </w:r>
          </w:p>
        </w:tc>
      </w:tr>
      <w:tr>
        <w:tc>
          <w:tcPr/>
          <w:p>
            <w:pPr>
              <w:pStyle w:val="Compact"/>
              <w:jc w:val="left"/>
            </w:pPr>
            <w:r>
              <w:t xml:space="preserve">R1 As-Is understanding</w:t>
            </w:r>
          </w:p>
        </w:tc>
        <w:tc>
          <w:tcPr/>
          <w:p>
            <w:pPr>
              <w:pStyle w:val="Compact"/>
              <w:jc w:val="left"/>
            </w:pPr>
            <w:r>
              <w:t xml:space="preserve">20</w:t>
            </w:r>
          </w:p>
        </w:tc>
        <w:tc>
          <w:tcPr/>
          <w:p>
            <w:pPr>
              <w:pStyle w:val="Compact"/>
              <w:jc w:val="left"/>
            </w:pPr>
            <w:r>
              <w:t xml:space="preserve">6</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0.93</w:t>
            </w:r>
          </w:p>
        </w:tc>
      </w:tr>
      <w:tr>
        <w:tc>
          <w:tcPr/>
          <w:p>
            <w:pPr>
              <w:pStyle w:val="Compact"/>
              <w:jc w:val="left"/>
            </w:pPr>
            <w:r>
              <w:t xml:space="preserve">R2 Repo 2.0 design</w:t>
            </w:r>
          </w:p>
        </w:tc>
        <w:tc>
          <w:tcPr/>
          <w:p>
            <w:pPr>
              <w:pStyle w:val="Compact"/>
              <w:jc w:val="left"/>
            </w:pPr>
            <w:r>
              <w:t xml:space="preserve">25</w:t>
            </w:r>
          </w:p>
        </w:tc>
        <w:tc>
          <w:tcPr/>
          <w:p>
            <w:pPr>
              <w:pStyle w:val="Compact"/>
              <w:jc w:val="left"/>
            </w:pPr>
            <w:r>
              <w:t xml:space="preserve">5</w:t>
            </w:r>
          </w:p>
        </w:tc>
        <w:tc>
          <w:tcPr/>
          <w:p>
            <w:pPr>
              <w:pStyle w:val="Compact"/>
              <w:jc w:val="left"/>
            </w:pPr>
            <w:r>
              <w:t xml:space="preserve">4</w:t>
            </w:r>
          </w:p>
        </w:tc>
        <w:tc>
          <w:tcPr/>
          <w:p>
            <w:pPr>
              <w:pStyle w:val="Compact"/>
              <w:jc w:val="left"/>
            </w:pPr>
            <w:r>
              <w:t xml:space="preserve">0</w:t>
            </w:r>
          </w:p>
        </w:tc>
        <w:tc>
          <w:tcPr/>
          <w:p>
            <w:pPr>
              <w:pStyle w:val="Compact"/>
              <w:jc w:val="left"/>
            </w:pPr>
            <w:r>
              <w:t xml:space="preserve">0</w:t>
            </w:r>
          </w:p>
        </w:tc>
        <w:tc>
          <w:tcPr/>
          <w:p>
            <w:pPr>
              <w:pStyle w:val="Compact"/>
              <w:jc w:val="left"/>
            </w:pPr>
            <w:r>
              <w:t xml:space="preserve">0.78</w:t>
            </w:r>
          </w:p>
        </w:tc>
      </w:tr>
      <w:tr>
        <w:tc>
          <w:tcPr/>
          <w:p>
            <w:pPr>
              <w:pStyle w:val="Compact"/>
              <w:jc w:val="left"/>
            </w:pPr>
            <w:r>
              <w:t xml:space="preserve">R3 Governance, risk, security</w:t>
            </w:r>
          </w:p>
        </w:tc>
        <w:tc>
          <w:tcPr/>
          <w:p>
            <w:pPr>
              <w:pStyle w:val="Compact"/>
              <w:jc w:val="left"/>
            </w:pPr>
            <w:r>
              <w:t xml:space="preserve">20</w:t>
            </w:r>
          </w:p>
        </w:tc>
        <w:tc>
          <w:tcPr/>
          <w:p>
            <w:pPr>
              <w:pStyle w:val="Compact"/>
              <w:jc w:val="left"/>
            </w:pPr>
            <w:r>
              <w:t xml:space="preserve">5</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0.67</w:t>
            </w:r>
          </w:p>
        </w:tc>
      </w:tr>
      <w:tr>
        <w:tc>
          <w:tcPr/>
          <w:p>
            <w:pPr>
              <w:pStyle w:val="Compact"/>
              <w:jc w:val="left"/>
            </w:pPr>
            <w:r>
              <w:t xml:space="preserve">R4 PRD and working application</w:t>
            </w:r>
          </w:p>
        </w:tc>
        <w:tc>
          <w:tcPr/>
          <w:p>
            <w:pPr>
              <w:pStyle w:val="Compact"/>
              <w:jc w:val="left"/>
            </w:pPr>
            <w:r>
              <w:t xml:space="preserve">25</w:t>
            </w:r>
          </w:p>
        </w:tc>
        <w:tc>
          <w:tcPr/>
          <w:p>
            <w:pPr>
              <w:pStyle w:val="Compact"/>
              <w:jc w:val="left"/>
            </w:pPr>
            <w:r>
              <w:t xml:space="preserve">4</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0.75</w:t>
            </w:r>
          </w:p>
        </w:tc>
      </w:tr>
      <w:tr>
        <w:tc>
          <w:tcPr/>
          <w:p>
            <w:pPr>
              <w:pStyle w:val="Compact"/>
              <w:jc w:val="left"/>
            </w:pPr>
            <w:r>
              <w:t xml:space="preserve">R5 Presentation and defence</w:t>
            </w:r>
          </w:p>
        </w:tc>
        <w:tc>
          <w:tcPr/>
          <w:p>
            <w:pPr>
              <w:pStyle w:val="Compact"/>
              <w:jc w:val="left"/>
            </w:pPr>
            <w:r>
              <w:t xml:space="preserve">10</w:t>
            </w:r>
          </w:p>
        </w:tc>
        <w:tc>
          <w:tcPr/>
          <w:p>
            <w:pPr>
              <w:pStyle w:val="Compact"/>
              <w:jc w:val="left"/>
            </w:pPr>
            <w:r>
              <w:t xml:space="preserve">4</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0.90</w:t>
            </w:r>
          </w:p>
        </w:tc>
      </w:tr>
    </w:tbl>
    <w:p>
      <w:pPr>
        <w:pStyle w:val="BodyText"/>
      </w:pPr>
      <w:r>
        <w:t xml:space="preserve">The index measures how complete the evidence is, not how many marks an evaluator will give. In our judgement [INF], R3 and R4 are held back by missing people and a missing model, not by missing work.</w:t>
      </w:r>
    </w:p>
    <w:bookmarkEnd w:id="51"/>
    <w:bookmarkStart w:id="52" w:name="readiness-decision"/>
    <w:p>
      <w:pPr>
        <w:pStyle w:val="Heading1"/>
      </w:pPr>
      <w:r>
        <w:t xml:space="preserve">9. Readiness decision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Gate</w:t>
            </w:r>
          </w:p>
        </w:tc>
        <w:tc>
          <w:tcPr/>
          <w:p>
            <w:pPr>
              <w:pStyle w:val="Compact"/>
              <w:jc w:val="left"/>
            </w:pPr>
            <w:r>
              <w:t xml:space="preserve">Criterion</w:t>
            </w:r>
          </w:p>
        </w:tc>
        <w:tc>
          <w:tcPr/>
          <w:p>
            <w:pPr>
              <w:pStyle w:val="Compact"/>
              <w:jc w:val="left"/>
            </w:pPr>
            <w:r>
              <w:t xml:space="preserve">State</w:t>
            </w:r>
          </w:p>
        </w:tc>
      </w:tr>
      <w:tr>
        <w:tc>
          <w:tcPr/>
          <w:p>
            <w:pPr>
              <w:pStyle w:val="Compact"/>
              <w:jc w:val="left"/>
            </w:pPr>
            <w:r>
              <w:t xml:space="preserve">G1</w:t>
            </w:r>
          </w:p>
        </w:tc>
        <w:tc>
          <w:tcPr/>
          <w:p>
            <w:pPr>
              <w:pStyle w:val="Compact"/>
              <w:jc w:val="left"/>
            </w:pPr>
            <w:r>
              <w:t xml:space="preserve">Tests pass, coverage at or above floor</w:t>
            </w:r>
          </w:p>
        </w:tc>
        <w:tc>
          <w:tcPr/>
          <w:p>
            <w:pPr>
              <w:pStyle w:val="Compact"/>
              <w:jc w:val="left"/>
            </w:pPr>
            <w:r>
              <w:t xml:space="preserve">PASS</w:t>
            </w:r>
          </w:p>
        </w:tc>
      </w:tr>
      <w:tr>
        <w:tc>
          <w:tcPr/>
          <w:p>
            <w:pPr>
              <w:pStyle w:val="Compact"/>
              <w:jc w:val="left"/>
            </w:pPr>
            <w:r>
              <w:t xml:space="preserve">G2</w:t>
            </w:r>
          </w:p>
        </w:tc>
        <w:tc>
          <w:tcPr/>
          <w:p>
            <w:pPr>
              <w:pStyle w:val="Compact"/>
              <w:jc w:val="left"/>
            </w:pPr>
            <w:r>
              <w:t xml:space="preserve">Evaluation at thresholds</w:t>
            </w:r>
          </w:p>
        </w:tc>
        <w:tc>
          <w:tcPr/>
          <w:p>
            <w:pPr>
              <w:pStyle w:val="Compact"/>
              <w:jc w:val="left"/>
            </w:pPr>
            <w:r>
              <w:t xml:space="preserve">PASS (deterministic provider only)</w:t>
            </w:r>
          </w:p>
        </w:tc>
      </w:tr>
      <w:tr>
        <w:tc>
          <w:tcPr/>
          <w:p>
            <w:pPr>
              <w:pStyle w:val="Compact"/>
              <w:jc w:val="left"/>
            </w:pPr>
            <w:r>
              <w:t xml:space="preserve">G3</w:t>
            </w:r>
          </w:p>
        </w:tc>
        <w:tc>
          <w:tcPr/>
          <w:p>
            <w:pPr>
              <w:pStyle w:val="Compact"/>
              <w:jc w:val="left"/>
            </w:pPr>
            <w:r>
              <w:t xml:space="preserve">No original defect re-exploitable</w:t>
            </w:r>
          </w:p>
        </w:tc>
        <w:tc>
          <w:tcPr/>
          <w:p>
            <w:pPr>
              <w:pStyle w:val="Compact"/>
              <w:jc w:val="left"/>
            </w:pPr>
            <w:r>
              <w:t xml:space="preserve">PASS</w:t>
            </w:r>
          </w:p>
        </w:tc>
      </w:tr>
      <w:tr>
        <w:tc>
          <w:tcPr/>
          <w:p>
            <w:pPr>
              <w:pStyle w:val="Compact"/>
              <w:jc w:val="left"/>
            </w:pPr>
            <w:r>
              <w:t xml:space="preserve">G4</w:t>
            </w:r>
          </w:p>
        </w:tc>
        <w:tc>
          <w:tcPr/>
          <w:p>
            <w:pPr>
              <w:pStyle w:val="Compact"/>
              <w:jc w:val="left"/>
            </w:pPr>
            <w:r>
              <w:t xml:space="preserve">No critical or high dependency vulnerability</w:t>
            </w:r>
          </w:p>
        </w:tc>
        <w:tc>
          <w:tcPr/>
          <w:p>
            <w:pPr>
              <w:pStyle w:val="Compact"/>
              <w:jc w:val="left"/>
            </w:pPr>
            <w:r>
              <w:t xml:space="preserve">PASS</w:t>
            </w:r>
          </w:p>
        </w:tc>
      </w:tr>
      <w:tr>
        <w:tc>
          <w:tcPr/>
          <w:p>
            <w:pPr>
              <w:pStyle w:val="Compact"/>
              <w:jc w:val="left"/>
            </w:pPr>
            <w:r>
              <w:t xml:space="preserve">G5</w:t>
            </w:r>
          </w:p>
        </w:tc>
        <w:tc>
          <w:tcPr/>
          <w:p>
            <w:pPr>
              <w:pStyle w:val="Compact"/>
              <w:jc w:val="left"/>
            </w:pPr>
            <w:r>
              <w:t xml:space="preserve">Audit tamper-evident; reconstruction shown</w:t>
            </w:r>
          </w:p>
        </w:tc>
        <w:tc>
          <w:tcPr/>
          <w:p>
            <w:pPr>
              <w:pStyle w:val="Compact"/>
              <w:jc w:val="left"/>
            </w:pPr>
            <w:r>
              <w:t xml:space="preserve">PASS (author-run)</w:t>
            </w:r>
          </w:p>
        </w:tc>
      </w:tr>
      <w:tr>
        <w:tc>
          <w:tcPr/>
          <w:p>
            <w:pPr>
              <w:pStyle w:val="Compact"/>
              <w:jc w:val="left"/>
            </w:pPr>
            <w:r>
              <w:t xml:space="preserve">G6</w:t>
            </w:r>
          </w:p>
        </w:tc>
        <w:tc>
          <w:tcPr/>
          <w:p>
            <w:pPr>
              <w:pStyle w:val="Compact"/>
              <w:jc w:val="left"/>
            </w:pPr>
            <w:r>
              <w:t xml:space="preserve">Backup restore shown</w:t>
            </w:r>
          </w:p>
        </w:tc>
        <w:tc>
          <w:tcPr/>
          <w:p>
            <w:pPr>
              <w:pStyle w:val="Compact"/>
              <w:jc w:val="left"/>
            </w:pPr>
            <w:r>
              <w:t xml:space="preserve">PASS (repository level)</w:t>
            </w:r>
          </w:p>
        </w:tc>
      </w:tr>
      <w:tr>
        <w:tc>
          <w:tcPr/>
          <w:p>
            <w:pPr>
              <w:pStyle w:val="Compact"/>
              <w:jc w:val="left"/>
            </w:pPr>
            <w:r>
              <w:t xml:space="preserve">G7</w:t>
            </w:r>
          </w:p>
        </w:tc>
        <w:tc>
          <w:tcPr/>
          <w:p>
            <w:pPr>
              <w:pStyle w:val="Compact"/>
              <w:jc w:val="left"/>
            </w:pPr>
            <w:r>
              <w:t xml:space="preserve">Rollback defined and rehearsed</w:t>
            </w:r>
          </w:p>
        </w:tc>
        <w:tc>
          <w:tcPr/>
          <w:p>
            <w:pPr>
              <w:pStyle w:val="Compact"/>
              <w:jc w:val="left"/>
            </w:pPr>
            <w:r>
              <w:t xml:space="preserve">PARTIAL</w:t>
            </w:r>
          </w:p>
        </w:tc>
      </w:tr>
      <w:tr>
        <w:tc>
          <w:tcPr/>
          <w:p>
            <w:pPr>
              <w:pStyle w:val="Compact"/>
              <w:jc w:val="left"/>
            </w:pPr>
            <w:r>
              <w:t xml:space="preserve">G8</w:t>
            </w:r>
          </w:p>
        </w:tc>
        <w:tc>
          <w:tcPr/>
          <w:p>
            <w:pPr>
              <w:pStyle w:val="Compact"/>
              <w:jc w:val="left"/>
            </w:pPr>
            <w:r>
              <w:t xml:space="preserve">Alerts routed to named people</w:t>
            </w:r>
          </w:p>
        </w:tc>
        <w:tc>
          <w:tcPr/>
          <w:p>
            <w:pPr>
              <w:pStyle w:val="Compact"/>
              <w:jc w:val="left"/>
            </w:pPr>
            <w:r>
              <w:t xml:space="preserve">FAIL</w:t>
            </w:r>
          </w:p>
        </w:tc>
      </w:tr>
      <w:tr>
        <w:tc>
          <w:tcPr/>
          <w:p>
            <w:pPr>
              <w:pStyle w:val="Compact"/>
              <w:jc w:val="left"/>
            </w:pPr>
            <w:r>
              <w:t xml:space="preserve">G9</w:t>
            </w:r>
          </w:p>
        </w:tc>
        <w:tc>
          <w:tcPr/>
          <w:p>
            <w:pPr>
              <w:pStyle w:val="Compact"/>
              <w:jc w:val="left"/>
            </w:pPr>
            <w:r>
              <w:t xml:space="preserve">Named approver and risk owners</w:t>
            </w:r>
          </w:p>
        </w:tc>
        <w:tc>
          <w:tcPr/>
          <w:p>
            <w:pPr>
              <w:pStyle w:val="Compact"/>
              <w:jc w:val="left"/>
            </w:pPr>
            <w:r>
              <w:t xml:space="preserve">FAIL</w:t>
            </w:r>
          </w:p>
        </w:tc>
      </w:tr>
      <w:tr>
        <w:tc>
          <w:tcPr/>
          <w:p>
            <w:pPr>
              <w:pStyle w:val="Compact"/>
              <w:jc w:val="left"/>
            </w:pPr>
            <w:r>
              <w:t xml:space="preserve">G10</w:t>
            </w:r>
          </w:p>
        </w:tc>
        <w:tc>
          <w:tcPr/>
          <w:p>
            <w:pPr>
              <w:pStyle w:val="Compact"/>
              <w:jc w:val="left"/>
            </w:pPr>
            <w:r>
              <w:t xml:space="preserve">Platform and identity provider exist</w:t>
            </w:r>
          </w:p>
        </w:tc>
        <w:tc>
          <w:tcPr/>
          <w:p>
            <w:pPr>
              <w:pStyle w:val="Compact"/>
              <w:jc w:val="left"/>
            </w:pPr>
            <w:r>
              <w:t xml:space="preserve">FAIL</w:t>
            </w:r>
          </w:p>
        </w:tc>
      </w:tr>
      <w:tr>
        <w:tc>
          <w:tcPr/>
          <w:p>
            <w:pPr>
              <w:pStyle w:val="Compact"/>
              <w:jc w:val="left"/>
            </w:pPr>
            <w:r>
              <w:t xml:space="preserve">G11</w:t>
            </w:r>
          </w:p>
        </w:tc>
        <w:tc>
          <w:tcPr/>
          <w:p>
            <w:pPr>
              <w:pStyle w:val="Compact"/>
              <w:jc w:val="left"/>
            </w:pPr>
            <w:r>
              <w:t xml:space="preserve">Independent evidence review</w:t>
            </w:r>
          </w:p>
        </w:tc>
        <w:tc>
          <w:tcPr/>
          <w:p>
            <w:pPr>
              <w:pStyle w:val="Compact"/>
              <w:jc w:val="left"/>
            </w:pPr>
            <w:r>
              <w:t xml:space="preserve">FAIL</w:t>
            </w:r>
          </w:p>
        </w:tc>
      </w:tr>
      <w:tr>
        <w:tc>
          <w:tcPr/>
          <w:p>
            <w:pPr>
              <w:pStyle w:val="Compact"/>
              <w:jc w:val="left"/>
            </w:pPr>
            <w:r>
              <w:t xml:space="preserve">G12</w:t>
            </w:r>
          </w:p>
        </w:tc>
        <w:tc>
          <w:tcPr/>
          <w:p>
            <w:pPr>
              <w:pStyle w:val="Compact"/>
              <w:jc w:val="left"/>
            </w:pPr>
            <w:r>
              <w:t xml:space="preserve">Compliance resolved for real data</w:t>
            </w:r>
          </w:p>
        </w:tc>
        <w:tc>
          <w:tcPr/>
          <w:p>
            <w:pPr>
              <w:pStyle w:val="Compact"/>
              <w:jc w:val="left"/>
            </w:pPr>
            <w:r>
              <w:t xml:space="preserve">FAIL</w:t>
            </w:r>
          </w:p>
        </w:tc>
      </w:tr>
    </w:tbl>
    <w:p>
      <w:pPr>
        <w:pStyle w:val="BodyText"/>
      </w:pPr>
      <w:r>
        <w:t xml:space="preserve">A pilot needs G1 to G7; production needs all twelve. The gates were fixed before the decision was made. G7 is only partial: rollback is defined, but there is no cutover to rehearse. Even the pilot recommendation therefore rests on conditions.</w:t>
      </w:r>
    </w:p>
    <w:p>
      <w:pPr>
        <w:pStyle w:val="BodyText"/>
      </w:pPr>
      <w:r>
        <w:rPr>
          <w:bCs/>
          <w:b/>
        </w:rPr>
        <w:t xml:space="preserve">Conditions for the pilot</w:t>
      </w:r>
      <w:r>
        <w:t xml:space="preserve"> </w:t>
      </w:r>
      <w:r>
        <w:t xml:space="preserve">(from the readiness decision):</w:t>
      </w:r>
    </w:p>
    <w:p>
      <w:pPr>
        <w:numPr>
          <w:ilvl w:val="0"/>
          <w:numId w:val="1012"/>
        </w:numPr>
        <w:pStyle w:val="Compact"/>
      </w:pPr>
      <w:r>
        <w:t xml:space="preserve">A sponsor accepts that the operator fills every role.</w:t>
      </w:r>
    </w:p>
    <w:p>
      <w:pPr>
        <w:numPr>
          <w:ilvl w:val="0"/>
          <w:numId w:val="1012"/>
        </w:numPr>
        <w:pStyle w:val="Compact"/>
      </w:pPr>
      <w:r>
        <w:t xml:space="preserve">The repository visibility is decided and the credentials in history are revoked or confirmed fake. The repository is now private and the values are treated as compromised.</w:t>
      </w:r>
    </w:p>
    <w:p>
      <w:pPr>
        <w:numPr>
          <w:ilvl w:val="0"/>
          <w:numId w:val="1012"/>
        </w:numPr>
        <w:pStyle w:val="Compact"/>
      </w:pPr>
      <w:r>
        <w:t xml:space="preserve">Branch protection and required CI checks are turned on. This cannot be done today: GitHub requires a paid plan for branch protection on a private repository.</w:t>
      </w:r>
    </w:p>
    <w:p>
      <w:pPr>
        <w:numPr>
          <w:ilvl w:val="0"/>
          <w:numId w:val="1012"/>
        </w:numPr>
        <w:pStyle w:val="Compact"/>
      </w:pPr>
      <w:r>
        <w:t xml:space="preserve">No real personal data and no hosted model are used until the regulatory scope and model questions are closed.</w:t>
      </w:r>
    </w:p>
    <w:p>
      <w:pPr>
        <w:numPr>
          <w:ilvl w:val="0"/>
          <w:numId w:val="1012"/>
        </w:numPr>
        <w:pStyle w:val="Compact"/>
      </w:pPr>
      <w:r>
        <w:t xml:space="preserve">One independent reviewer reads this pack.</w:t>
      </w:r>
    </w:p>
    <w:p>
      <w:pPr>
        <w:pStyle w:val="FirstParagraph"/>
      </w:pPr>
      <w:r>
        <w:t xml:space="preserve">All 23 open questions now have a dated decision from the operator (15 decided, 7 ratified, 1 deferred). Because one person holds every role, those decisions are provisional. No risk acceptance is signed by a named person (0 of 12).</w:t>
      </w:r>
    </w:p>
    <w:bookmarkEnd w:id="52"/>
    <w:bookmarkStart w:id="53" w:name="what-is-not-proven"/>
    <w:p>
      <w:pPr>
        <w:pStyle w:val="Heading1"/>
      </w:pPr>
      <w:r>
        <w:t xml:space="preserve">10. What is not proven</w:t>
      </w:r>
    </w:p>
    <w:p>
      <w:pPr>
        <w:numPr>
          <w:ilvl w:val="0"/>
          <w:numId w:val="1013"/>
        </w:numPr>
        <w:pStyle w:val="Compact"/>
      </w:pPr>
      <w:r>
        <w:rPr>
          <w:bCs/>
          <w:b/>
        </w:rPr>
        <w:t xml:space="preserve">No real AI model.</w:t>
      </w:r>
      <w:r>
        <w:t xml:space="preserve"> </w:t>
      </w:r>
      <w:r>
        <w:t xml:space="preserve">All AI evidence uses the deterministic provider, and its thresholds are valid only for that provider.</w:t>
      </w:r>
    </w:p>
    <w:p>
      <w:pPr>
        <w:numPr>
          <w:ilvl w:val="0"/>
          <w:numId w:val="1013"/>
        </w:numPr>
        <w:pStyle w:val="Compact"/>
      </w:pPr>
      <w:r>
        <w:rPr>
          <w:bCs/>
          <w:b/>
        </w:rPr>
        <w:t xml:space="preserve">Nothing deployed.</w:t>
      </w:r>
      <w:r>
        <w:t xml:space="preserve"> </w:t>
      </w:r>
      <w:r>
        <w:t xml:space="preserve">The platform-neutral decision means Terraform provisions nothing, and the container image was never built.</w:t>
      </w:r>
    </w:p>
    <w:p>
      <w:pPr>
        <w:numPr>
          <w:ilvl w:val="0"/>
          <w:numId w:val="1013"/>
        </w:numPr>
        <w:pStyle w:val="Compact"/>
      </w:pPr>
      <w:r>
        <w:rPr>
          <w:bCs/>
          <w:b/>
        </w:rPr>
        <w:t xml:space="preserve">No business value measured.</w:t>
      </w:r>
    </w:p>
    <w:p>
      <w:pPr>
        <w:numPr>
          <w:ilvl w:val="0"/>
          <w:numId w:val="1013"/>
        </w:numPr>
        <w:pStyle w:val="Compact"/>
      </w:pPr>
      <w:r>
        <w:rPr>
          <w:bCs/>
          <w:b/>
        </w:rPr>
        <w:t xml:space="preserve">No independent review.</w:t>
      </w:r>
      <w:r>
        <w:t xml:space="preserve"> </w:t>
      </w:r>
      <w:r>
        <w:t xml:space="preserve">The red team and the gates were self-run.</w:t>
      </w:r>
    </w:p>
    <w:p>
      <w:pPr>
        <w:numPr>
          <w:ilvl w:val="0"/>
          <w:numId w:val="1013"/>
        </w:numPr>
        <w:pStyle w:val="Compact"/>
      </w:pPr>
      <w:r>
        <w:rPr>
          <w:bCs/>
          <w:b/>
        </w:rPr>
        <w:t xml:space="preserve">Portability partly shown.</w:t>
      </w:r>
      <w:r>
        <w:t xml:space="preserve"> </w:t>
      </w:r>
      <w:r>
        <w:t xml:space="preserve">Safety held under a second model; AI-output fidelity did not.</w:t>
      </w:r>
    </w:p>
    <w:p>
      <w:pPr>
        <w:numPr>
          <w:ilvl w:val="0"/>
          <w:numId w:val="1013"/>
        </w:numPr>
        <w:pStyle w:val="Compact"/>
      </w:pPr>
      <w:r>
        <w:rPr>
          <w:bCs/>
          <w:b/>
        </w:rPr>
        <w:t xml:space="preserve">Credentials remain in git history.</w:t>
      </w:r>
      <w:r>
        <w:t xml:space="preserve"> </w:t>
      </w:r>
      <w:r>
        <w:t xml:space="preserve">The repository is private and the values are treated as compromised.</w:t>
      </w:r>
    </w:p>
    <w:p>
      <w:pPr>
        <w:numPr>
          <w:ilvl w:val="0"/>
          <w:numId w:val="1013"/>
        </w:numPr>
        <w:pStyle w:val="Compact"/>
      </w:pPr>
      <w:r>
        <w:rPr>
          <w:bCs/>
          <w:b/>
        </w:rPr>
        <w:t xml:space="preserve">Branch protection is not enabled on</w:t>
      </w:r>
      <w:r>
        <w:rPr>
          <w:bCs/>
          <w:b/>
        </w:rPr>
        <w:t xml:space="preserve"> </w:t>
      </w:r>
      <w:r>
        <w:rPr>
          <w:rStyle w:val="VerbatimChar"/>
          <w:bCs/>
          <w:b/>
        </w:rPr>
        <w:t xml:space="preserve">main</w:t>
      </w:r>
      <w:r>
        <w:rPr>
          <w:bCs/>
          <w:b/>
        </w:rPr>
        <w:t xml:space="preserve">.</w:t>
      </w:r>
      <w:r>
        <w:t xml:space="preserve"> </w:t>
      </w:r>
      <w:r>
        <w:t xml:space="preserve">GitHub reports that it needs a Pro plan for a private repository.</w:t>
      </w:r>
    </w:p>
    <w:p>
      <w:pPr>
        <w:numPr>
          <w:ilvl w:val="0"/>
          <w:numId w:val="1013"/>
        </w:numPr>
        <w:pStyle w:val="Compact"/>
      </w:pPr>
      <w:r>
        <w:rPr>
          <w:bCs/>
          <w:b/>
        </w:rPr>
        <w:t xml:space="preserve">Other open risks of medium severity.</w:t>
      </w:r>
      <w:r>
        <w:t xml:space="preserve"> </w:t>
      </w:r>
      <w:r>
        <w:t xml:space="preserve">These are all in</w:t>
      </w:r>
      <w:r>
        <w:t xml:space="preserve"> </w:t>
      </w:r>
      <w:r>
        <w:rPr>
          <w:rStyle w:val="VerbatimChar"/>
        </w:rPr>
        <w:t xml:space="preserve">docs/42-executive/residual-risks.md</w:t>
      </w:r>
      <w:r>
        <w:t xml:space="preserve">:</w:t>
      </w:r>
    </w:p>
    <w:p>
      <w:pPr>
        <w:numPr>
          <w:ilvl w:val="1"/>
          <w:numId w:val="1014"/>
        </w:numPr>
        <w:pStyle w:val="Compact"/>
      </w:pPr>
      <w:r>
        <w:t xml:space="preserve">Identity uses HS256 shared-secret tokens, and the JWKS verifier is a stub.</w:t>
      </w:r>
    </w:p>
    <w:p>
      <w:pPr>
        <w:numPr>
          <w:ilvl w:val="1"/>
          <w:numId w:val="1014"/>
        </w:numPr>
        <w:pStyle w:val="Compact"/>
      </w:pPr>
      <w:r>
        <w:t xml:space="preserve">The audit chain detects edits but cannot prevent deletion of its newest entry.</w:t>
      </w:r>
    </w:p>
    <w:p>
      <w:pPr>
        <w:numPr>
          <w:ilvl w:val="1"/>
          <w:numId w:val="1014"/>
        </w:numPr>
        <w:pStyle w:val="Compact"/>
      </w:pPr>
      <w:r>
        <w:t xml:space="preserve">Approvals never expire.</w:t>
      </w:r>
    </w:p>
    <w:p>
      <w:pPr>
        <w:numPr>
          <w:ilvl w:val="1"/>
          <w:numId w:val="1014"/>
        </w:numPr>
        <w:pStyle w:val="Compact"/>
      </w:pPr>
      <w:r>
        <w:t xml:space="preserve">The rate limit is held in memory.</w:t>
      </w:r>
    </w:p>
    <w:p>
      <w:pPr>
        <w:numPr>
          <w:ilvl w:val="1"/>
          <w:numId w:val="1014"/>
        </w:numPr>
        <w:pStyle w:val="Compact"/>
      </w:pPr>
      <w:r>
        <w:t xml:space="preserve">Business rule BR-04 is violated by 354 of 354 rows.</w:t>
      </w:r>
    </w:p>
    <w:p>
      <w:pPr>
        <w:numPr>
          <w:ilvl w:val="1"/>
          <w:numId w:val="1014"/>
        </w:numPr>
        <w:pStyle w:val="Compact"/>
      </w:pPr>
      <w:r>
        <w:t xml:space="preserve">1,992 of 3,000 historical events have no usable correlation id.</w:t>
      </w:r>
    </w:p>
    <w:bookmarkEnd w:id="53"/>
    <w:bookmarkStart w:id="54" w:name="six-asks-of-the-cto"/>
    <w:p>
      <w:pPr>
        <w:pStyle w:val="Heading1"/>
      </w:pPr>
      <w:r>
        <w:t xml:space="preserve">11. Six asks of the CTO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Ask</w:t>
            </w:r>
          </w:p>
        </w:tc>
        <w:tc>
          <w:tcPr/>
          <w:p>
            <w:pPr>
              <w:pStyle w:val="Compact"/>
              <w:jc w:val="left"/>
            </w:pPr>
            <w:r>
              <w:t xml:space="preserve">Why only the CTO can give it</w:t>
            </w:r>
          </w:p>
        </w:tc>
        <w:tc>
          <w:tcPr/>
          <w:p>
            <w:pPr>
              <w:pStyle w:val="Compact"/>
              <w:jc w:val="left"/>
            </w:pPr>
            <w:r>
              <w:t xml:space="preserve">Time</w:t>
            </w:r>
          </w:p>
        </w:tc>
      </w:tr>
      <w:tr>
        <w:tc>
          <w:tcPr/>
          <w:p>
            <w:pPr>
              <w:pStyle w:val="Compact"/>
              <w:jc w:val="left"/>
            </w:pPr>
            <w:r>
              <w:t xml:space="preserve">1</w:t>
            </w:r>
          </w:p>
        </w:tc>
        <w:tc>
          <w:tcPr/>
          <w:p>
            <w:pPr>
              <w:pStyle w:val="Compact"/>
              <w:jc w:val="left"/>
            </w:pPr>
            <w:r>
              <w:t xml:space="preserve">Ratify the write authorisation (OQ-11)</w:t>
            </w:r>
          </w:p>
        </w:tc>
        <w:tc>
          <w:tcPr/>
          <w:p>
            <w:pPr>
              <w:pStyle w:val="Compact"/>
              <w:jc w:val="left"/>
            </w:pPr>
            <w:r>
              <w:t xml:space="preserve">The operator gave it to themselves</w:t>
            </w:r>
          </w:p>
        </w:tc>
        <w:tc>
          <w:tcPr/>
          <w:p>
            <w:pPr>
              <w:pStyle w:val="Compact"/>
              <w:jc w:val="left"/>
            </w:pPr>
            <w:r>
              <w:t xml:space="preserve">minutes</w:t>
            </w:r>
          </w:p>
        </w:tc>
      </w:tr>
      <w:tr>
        <w:tc>
          <w:tcPr/>
          <w:p>
            <w:pPr>
              <w:pStyle w:val="Compact"/>
              <w:jc w:val="left"/>
            </w:pPr>
            <w:r>
              <w:t xml:space="preserve">2</w:t>
            </w:r>
          </w:p>
        </w:tc>
        <w:tc>
          <w:tcPr/>
          <w:p>
            <w:pPr>
              <w:pStyle w:val="Compact"/>
              <w:jc w:val="left"/>
            </w:pPr>
            <w:r>
              <w:t xml:space="preserve">Name approvers; sign or reject the 12 risk acceptances (OQ-05)</w:t>
            </w:r>
          </w:p>
        </w:tc>
        <w:tc>
          <w:tcPr/>
          <w:p>
            <w:pPr>
              <w:pStyle w:val="Compact"/>
              <w:jc w:val="left"/>
            </w:pPr>
            <w:r>
              <w:t xml:space="preserve">0 of 12 signed; the only NOT MET rubric row</w:t>
            </w:r>
          </w:p>
        </w:tc>
        <w:tc>
          <w:tcPr/>
          <w:p>
            <w:pPr>
              <w:pStyle w:val="Compact"/>
              <w:jc w:val="left"/>
            </w:pPr>
            <w:r>
              <w:t xml:space="preserve">about an hour</w:t>
            </w:r>
          </w:p>
        </w:tc>
      </w:tr>
      <w:tr>
        <w:tc>
          <w:tcPr/>
          <w:p>
            <w:pPr>
              <w:pStyle w:val="Compact"/>
              <w:jc w:val="left"/>
            </w:pPr>
            <w:r>
              <w:t xml:space="preserve">3</w:t>
            </w:r>
          </w:p>
        </w:tc>
        <w:tc>
          <w:tcPr/>
          <w:p>
            <w:pPr>
              <w:pStyle w:val="Compact"/>
              <w:jc w:val="left"/>
            </w:pPr>
            <w:r>
              <w:t xml:space="preserve">Confirm the platform, model and egress decisions (OQ-01 to OQ-03)</w:t>
            </w:r>
          </w:p>
        </w:tc>
        <w:tc>
          <w:tcPr/>
          <w:p>
            <w:pPr>
              <w:pStyle w:val="Compact"/>
              <w:jc w:val="left"/>
            </w:pPr>
            <w:r>
              <w:t xml:space="preserve">They decide whether infrastructure and a working AI model can ever be met</w:t>
            </w:r>
          </w:p>
        </w:tc>
        <w:tc>
          <w:tcPr/>
          <w:p>
            <w:pPr>
              <w:pStyle w:val="Compact"/>
              <w:jc w:val="left"/>
            </w:pPr>
            <w:r>
              <w:t xml:space="preserve">a conversation</w:t>
            </w:r>
          </w:p>
        </w:tc>
      </w:tr>
      <w:tr>
        <w:tc>
          <w:tcPr/>
          <w:p>
            <w:pPr>
              <w:pStyle w:val="Compact"/>
              <w:jc w:val="left"/>
            </w:pPr>
            <w:r>
              <w:t xml:space="preserve">4</w:t>
            </w:r>
          </w:p>
        </w:tc>
        <w:tc>
          <w:tcPr/>
          <w:p>
            <w:pPr>
              <w:pStyle w:val="Compact"/>
              <w:jc w:val="left"/>
            </w:pPr>
            <w:r>
              <w:t xml:space="preserve">Name a regulatory regime or confirm none applies (OQ-04, OQ-21)</w:t>
            </w:r>
          </w:p>
        </w:tc>
        <w:tc>
          <w:tcPr/>
          <w:p>
            <w:pPr>
              <w:pStyle w:val="Compact"/>
              <w:jc w:val="left"/>
            </w:pPr>
            <w:r>
              <w:t xml:space="preserve">Validates the candidate obligations</w:t>
            </w:r>
          </w:p>
        </w:tc>
        <w:tc>
          <w:tcPr/>
          <w:p>
            <w:pPr>
              <w:pStyle w:val="Compact"/>
              <w:jc w:val="left"/>
            </w:pPr>
            <w:r>
              <w:t xml:space="preserve">a day of review</w:t>
            </w:r>
          </w:p>
        </w:tc>
      </w:tr>
      <w:tr>
        <w:tc>
          <w:tcPr/>
          <w:p>
            <w:pPr>
              <w:pStyle w:val="Compact"/>
              <w:jc w:val="left"/>
            </w:pPr>
            <w:r>
              <w:t xml:space="preserve">5</w:t>
            </w:r>
          </w:p>
        </w:tc>
        <w:tc>
          <w:tcPr/>
          <w:p>
            <w:pPr>
              <w:pStyle w:val="Compact"/>
              <w:jc w:val="left"/>
            </w:pPr>
            <w:r>
              <w:t xml:space="preserve">Confirm the proxy KPIs; say whether real figures exist (OQ-08, OQ-09)</w:t>
            </w:r>
          </w:p>
        </w:tc>
        <w:tc>
          <w:tcPr/>
          <w:p>
            <w:pPr>
              <w:pStyle w:val="Compact"/>
              <w:jc w:val="left"/>
            </w:pPr>
            <w:r>
              <w:t xml:space="preserve">The sponsor owns the value argument</w:t>
            </w:r>
          </w:p>
        </w:tc>
        <w:tc>
          <w:tcPr/>
          <w:p>
            <w:pPr>
              <w:pStyle w:val="Compact"/>
              <w:jc w:val="left"/>
            </w:pPr>
            <w:r>
              <w:t xml:space="preserve">minutes</w:t>
            </w:r>
          </w:p>
        </w:tc>
      </w:tr>
      <w:tr>
        <w:tc>
          <w:tcPr/>
          <w:p>
            <w:pPr>
              <w:pStyle w:val="Compact"/>
              <w:jc w:val="left"/>
            </w:pPr>
            <w:r>
              <w:t xml:space="preserve">6</w:t>
            </w:r>
          </w:p>
        </w:tc>
        <w:tc>
          <w:tcPr/>
          <w:p>
            <w:pPr>
              <w:pStyle w:val="Compact"/>
              <w:jc w:val="left"/>
            </w:pPr>
            <w:r>
              <w:t xml:space="preserve">Appoint one independent reviewer (GOV-10)</w:t>
            </w:r>
          </w:p>
        </w:tc>
        <w:tc>
          <w:tcPr/>
          <w:p>
            <w:pPr>
              <w:pStyle w:val="Compact"/>
              <w:jc w:val="left"/>
            </w:pPr>
            <w:r>
              <w:t xml:space="preserve">Every gate and grade was self-run</w:t>
            </w:r>
          </w:p>
        </w:tc>
        <w:tc>
          <w:tcPr/>
          <w:p>
            <w:pPr>
              <w:pStyle w:val="Compact"/>
              <w:jc w:val="left"/>
            </w:pPr>
            <w:r>
              <w:t xml:space="preserve">a few hours</w:t>
            </w:r>
          </w:p>
        </w:tc>
      </w:tr>
    </w:tbl>
    <w:p>
      <w:pPr>
        <w:pStyle w:val="BodyText"/>
      </w:pPr>
      <w:r>
        <w:t xml:space="preserve">The signature block is in</w:t>
      </w:r>
      <w:r>
        <w:t xml:space="preserve"> </w:t>
      </w:r>
      <w:r>
        <w:rPr>
          <w:rStyle w:val="VerbatimChar"/>
        </w:rPr>
        <w:t xml:space="preserve">docs/44-decisions/cto-signoff-pack.md</w:t>
      </w:r>
      <w:r>
        <w:t xml:space="preserve">.</w:t>
      </w:r>
    </w:p>
    <w:bookmarkEnd w:id="54"/>
    <w:bookmarkStart w:id="55" w:name="X2e0a389b48becb60c3f02289ad84ff9e42b1625"/>
    <w:p>
      <w:pPr>
        <w:pStyle w:val="Heading1"/>
      </w:pPr>
      <w:r>
        <w:t xml:space="preserve">12. How to present this (10 minutes plus 5 of questions)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Minute</w:t>
            </w:r>
          </w:p>
        </w:tc>
        <w:tc>
          <w:tcPr/>
          <w:p>
            <w:pPr>
              <w:pStyle w:val="Compact"/>
              <w:jc w:val="left"/>
            </w:pPr>
            <w:r>
              <w:t xml:space="preserve">Slide</w:t>
            </w:r>
          </w:p>
        </w:tc>
        <w:tc>
          <w:tcPr/>
          <w:p>
            <w:pPr>
              <w:pStyle w:val="Compact"/>
              <w:jc w:val="left"/>
            </w:pPr>
            <w:r>
              <w:t xml:space="preserve">Message</w:t>
            </w:r>
          </w:p>
        </w:tc>
      </w:tr>
      <w:tr>
        <w:tc>
          <w:tcPr/>
          <w:p>
            <w:pPr>
              <w:pStyle w:val="Compact"/>
              <w:jc w:val="left"/>
            </w:pPr>
            <w:r>
              <w:t xml:space="preserve">0:00</w:t>
            </w:r>
          </w:p>
        </w:tc>
        <w:tc>
          <w:tcPr/>
          <w:p>
            <w:pPr>
              <w:pStyle w:val="Compact"/>
              <w:jc w:val="left"/>
            </w:pPr>
            <w:r>
              <w:t xml:space="preserve">1 to 2</w:t>
            </w:r>
          </w:p>
        </w:tc>
        <w:tc>
          <w:tcPr/>
          <w:p>
            <w:pPr>
              <w:pStyle w:val="Compact"/>
              <w:jc w:val="left"/>
            </w:pPr>
            <w:r>
              <w:t xml:space="preserve">The answer: controls proven; value and independence not yet; NO-GO production, CONDITIONAL GO pilot</w:t>
            </w:r>
          </w:p>
        </w:tc>
      </w:tr>
      <w:tr>
        <w:tc>
          <w:tcPr/>
          <w:p>
            <w:pPr>
              <w:pStyle w:val="Compact"/>
              <w:jc w:val="left"/>
            </w:pPr>
            <w:r>
              <w:t xml:space="preserve">1:30</w:t>
            </w:r>
          </w:p>
        </w:tc>
        <w:tc>
          <w:tcPr/>
          <w:p>
            <w:pPr>
              <w:pStyle w:val="Compact"/>
              <w:jc w:val="left"/>
            </w:pPr>
            <w:r>
              <w:t xml:space="preserve">3</w:t>
            </w:r>
          </w:p>
        </w:tc>
        <w:tc>
          <w:tcPr/>
          <w:p>
            <w:pPr>
              <w:pStyle w:val="Compact"/>
              <w:jc w:val="left"/>
            </w:pPr>
            <w:r>
              <w:t xml:space="preserve">The journey: six phases, one evidence discipline</w:t>
            </w:r>
          </w:p>
        </w:tc>
      </w:tr>
      <w:tr>
        <w:tc>
          <w:tcPr/>
          <w:p>
            <w:pPr>
              <w:pStyle w:val="Compact"/>
              <w:jc w:val="left"/>
            </w:pPr>
            <w:r>
              <w:t xml:space="preserve">2:30</w:t>
            </w:r>
          </w:p>
        </w:tc>
        <w:tc>
          <w:tcPr/>
          <w:p>
            <w:pPr>
              <w:pStyle w:val="Compact"/>
              <w:jc w:val="left"/>
            </w:pPr>
            <w:r>
              <w:t xml:space="preserve">4 to 5</w:t>
            </w:r>
          </w:p>
        </w:tc>
        <w:tc>
          <w:tcPr/>
          <w:p>
            <w:pPr>
              <w:pStyle w:val="Compact"/>
              <w:jc w:val="left"/>
            </w:pPr>
            <w:r>
              <w:t xml:space="preserve">What we inherited; 62 findings, five root causes</w:t>
            </w:r>
          </w:p>
        </w:tc>
      </w:tr>
      <w:tr>
        <w:tc>
          <w:tcPr/>
          <w:p>
            <w:pPr>
              <w:pStyle w:val="Compact"/>
              <w:jc w:val="left"/>
            </w:pPr>
            <w:r>
              <w:t xml:space="preserve">4:00</w:t>
            </w:r>
          </w:p>
        </w:tc>
        <w:tc>
          <w:tcPr/>
          <w:p>
            <w:pPr>
              <w:pStyle w:val="Compact"/>
              <w:jc w:val="left"/>
            </w:pPr>
            <w:r>
              <w:t xml:space="preserve">6 to 7</w:t>
            </w:r>
          </w:p>
        </w:tc>
        <w:tc>
          <w:tcPr/>
          <w:p>
            <w:pPr>
              <w:pStyle w:val="Compact"/>
              <w:jc w:val="left"/>
            </w:pPr>
            <w:r>
              <w:t xml:space="preserve">Repo 2.0 and the side-by-side comparison</w:t>
            </w:r>
          </w:p>
        </w:tc>
      </w:tr>
      <w:tr>
        <w:tc>
          <w:tcPr/>
          <w:p>
            <w:pPr>
              <w:pStyle w:val="Compact"/>
              <w:jc w:val="left"/>
            </w:pPr>
            <w:r>
              <w:t xml:space="preserve">5:30</w:t>
            </w:r>
          </w:p>
        </w:tc>
        <w:tc>
          <w:tcPr/>
          <w:p>
            <w:pPr>
              <w:pStyle w:val="Compact"/>
              <w:jc w:val="left"/>
            </w:pPr>
            <w:r>
              <w:t xml:space="preserve">8</w:t>
            </w:r>
          </w:p>
        </w:tc>
        <w:tc>
          <w:tcPr/>
          <w:p>
            <w:pPr>
              <w:pStyle w:val="Compact"/>
              <w:jc w:val="left"/>
            </w:pPr>
            <w:r>
              <w:t xml:space="preserve">Proof: 10 of 12 attacks succeeded before, 0 of 12 now</w:t>
            </w:r>
          </w:p>
        </w:tc>
      </w:tr>
      <w:tr>
        <w:tc>
          <w:tcPr/>
          <w:p>
            <w:pPr>
              <w:pStyle w:val="Compact"/>
              <w:jc w:val="left"/>
            </w:pPr>
            <w:r>
              <w:t xml:space="preserve">6:30</w:t>
            </w:r>
          </w:p>
        </w:tc>
        <w:tc>
          <w:tcPr/>
          <w:p>
            <w:pPr>
              <w:pStyle w:val="Compact"/>
              <w:jc w:val="left"/>
            </w:pPr>
            <w:r>
              <w:t xml:space="preserve">9 to 10</w:t>
            </w:r>
          </w:p>
        </w:tc>
        <w:tc>
          <w:tcPr/>
          <w:p>
            <w:pPr>
              <w:pStyle w:val="Compact"/>
              <w:jc w:val="left"/>
            </w:pPr>
            <w:r>
              <w:t xml:space="preserve">Readiness gates; what is not proven</w:t>
            </w:r>
          </w:p>
        </w:tc>
      </w:tr>
      <w:tr>
        <w:tc>
          <w:tcPr/>
          <w:p>
            <w:pPr>
              <w:pStyle w:val="Compact"/>
              <w:jc w:val="left"/>
            </w:pPr>
            <w:r>
              <w:t xml:space="preserve">8:00</w:t>
            </w:r>
          </w:p>
        </w:tc>
        <w:tc>
          <w:tcPr/>
          <w:p>
            <w:pPr>
              <w:pStyle w:val="Compact"/>
              <w:jc w:val="left"/>
            </w:pPr>
            <w:r>
              <w:t xml:space="preserve">11</w:t>
            </w:r>
          </w:p>
        </w:tc>
        <w:tc>
          <w:tcPr/>
          <w:p>
            <w:pPr>
              <w:pStyle w:val="Compact"/>
              <w:jc w:val="left"/>
            </w:pPr>
            <w:r>
              <w:t xml:space="preserve">Six asks</w:t>
            </w:r>
          </w:p>
        </w:tc>
      </w:tr>
      <w:tr>
        <w:tc>
          <w:tcPr/>
          <w:p>
            <w:pPr>
              <w:pStyle w:val="Compact"/>
              <w:jc w:val="left"/>
            </w:pPr>
            <w:r>
              <w:t xml:space="preserve">10:00</w:t>
            </w:r>
          </w:p>
        </w:tc>
        <w:tc>
          <w:tcPr/>
          <w:p>
            <w:pPr>
              <w:pStyle w:val="Compact"/>
              <w:jc w:val="left"/>
            </w:pPr>
            <w:r>
              <w:t xml:space="preserve">appendix</w:t>
            </w:r>
          </w:p>
        </w:tc>
        <w:tc>
          <w:tcPr/>
          <w:p>
            <w:pPr>
              <w:pStyle w:val="Compact"/>
              <w:jc w:val="left"/>
            </w:pPr>
            <w:r>
              <w:t xml:space="preserve">Questions: AI request path, KPIs, semantic layer, second-model test, evidence chain, rubric, where to find things</w:t>
            </w:r>
          </w:p>
        </w:tc>
      </w:tr>
    </w:tbl>
    <w:p>
      <w:pPr>
        <w:pStyle w:val="BodyText"/>
      </w:pPr>
      <w:r>
        <w:t xml:space="preserve">Speaker notes are in every slide of the deck. Every diagram in the deck is drawn with native PowerPoint shapes, so boxes and arrows can be moved or reworded in PowerPoint. The same diagrams are also available as draw.io files in</w:t>
      </w:r>
      <w:r>
        <w:t xml:space="preserve"> </w:t>
      </w:r>
      <w:r>
        <w:rPr>
          <w:rStyle w:val="VerbatimChar"/>
        </w:rPr>
        <w:t xml:space="preserve">diagrams/</w:t>
      </w:r>
      <w:r>
        <w:t xml:space="preserve">.</w:t>
      </w:r>
    </w:p>
    <w:bookmarkEnd w:id="55"/>
    <w:bookmarkStart w:id="56" w:name="sources"/>
    <w:p>
      <w:pPr>
        <w:pStyle w:val="Heading1"/>
      </w:pPr>
      <w:r>
        <w:t xml:space="preserve">13. Sources</w:t>
      </w:r>
    </w:p>
    <w:p>
      <w:pPr>
        <w:pStyle w:val="FirstParagraph"/>
      </w:pPr>
      <w:r>
        <w:t xml:space="preserve">All figures come from these repository files (each is also listed, with its hash, in the evidence register):</w:t>
      </w:r>
    </w:p>
    <w:p>
      <w:pPr>
        <w:numPr>
          <w:ilvl w:val="0"/>
          <w:numId w:val="1015"/>
        </w:numPr>
        <w:pStyle w:val="Compact"/>
      </w:pPr>
      <w:r>
        <w:t xml:space="preserve">Decision and gates:</w:t>
      </w:r>
      <w:r>
        <w:t xml:space="preserve"> </w:t>
      </w:r>
      <w:r>
        <w:rPr>
          <w:rStyle w:val="VerbatimChar"/>
        </w:rPr>
        <w:t xml:space="preserve">docs/42-executive/production-readiness-decision.md</w:t>
      </w:r>
      <w:r>
        <w:t xml:space="preserve">,</w:t>
      </w:r>
      <w:r>
        <w:t xml:space="preserve"> </w:t>
      </w:r>
      <w:r>
        <w:rPr>
          <w:rStyle w:val="VerbatimChar"/>
        </w:rPr>
        <w:t xml:space="preserve">docs/30-release/go-no-go-criteria.md</w:t>
      </w:r>
    </w:p>
    <w:p>
      <w:pPr>
        <w:numPr>
          <w:ilvl w:val="0"/>
          <w:numId w:val="1015"/>
        </w:numPr>
        <w:pStyle w:val="Compact"/>
      </w:pPr>
      <w:r>
        <w:t xml:space="preserve">Red team:</w:t>
      </w:r>
      <w:r>
        <w:t xml:space="preserve"> </w:t>
      </w:r>
      <w:r>
        <w:rPr>
          <w:rStyle w:val="VerbatimChar"/>
        </w:rPr>
        <w:t xml:space="preserve">evidence/26-tevv/EVD-L-03-redteam-baseline.json</w:t>
      </w:r>
      <w:r>
        <w:t xml:space="preserve">,</w:t>
      </w:r>
      <w:r>
        <w:t xml:space="preserve"> </w:t>
      </w:r>
      <w:r>
        <w:rPr>
          <w:rStyle w:val="VerbatimChar"/>
        </w:rPr>
        <w:t xml:space="preserve">evidence/26-tevv/EVD-L-03-redteam-v2.json</w:t>
      </w:r>
    </w:p>
    <w:p>
      <w:pPr>
        <w:numPr>
          <w:ilvl w:val="0"/>
          <w:numId w:val="1015"/>
        </w:numPr>
        <w:pStyle w:val="Compact"/>
      </w:pPr>
      <w:r>
        <w:t xml:space="preserve">KPIs:</w:t>
      </w:r>
      <w:r>
        <w:t xml:space="preserve"> </w:t>
      </w:r>
      <w:r>
        <w:rPr>
          <w:rStyle w:val="VerbatimChar"/>
        </w:rPr>
        <w:t xml:space="preserve">docs/34-after-kpis/after-intervention-kpi-sheet.md</w:t>
      </w:r>
      <w:r>
        <w:t xml:space="preserve">,</w:t>
      </w:r>
      <w:r>
        <w:t xml:space="preserve"> </w:t>
      </w:r>
      <w:r>
        <w:rPr>
          <w:rStyle w:val="VerbatimChar"/>
        </w:rPr>
        <w:t xml:space="preserve">evidence/34-after-kpis/EVD-O-01-after-kpis.json</w:t>
      </w:r>
    </w:p>
    <w:p>
      <w:pPr>
        <w:numPr>
          <w:ilvl w:val="0"/>
          <w:numId w:val="1015"/>
        </w:numPr>
        <w:pStyle w:val="Compact"/>
      </w:pPr>
      <w:r>
        <w:t xml:space="preserve">Findings:</w:t>
      </w:r>
      <w:r>
        <w:t xml:space="preserve"> </w:t>
      </w:r>
      <w:r>
        <w:rPr>
          <w:rStyle w:val="VerbatimChar"/>
        </w:rPr>
        <w:t xml:space="preserve">evidence/13-traceability/EVD-F-04b-finding-disposition-final.csv</w:t>
      </w:r>
    </w:p>
    <w:p>
      <w:pPr>
        <w:numPr>
          <w:ilvl w:val="0"/>
          <w:numId w:val="1015"/>
        </w:numPr>
        <w:pStyle w:val="Compact"/>
      </w:pPr>
      <w:r>
        <w:t xml:space="preserve">Root causes:</w:t>
      </w:r>
      <w:r>
        <w:t xml:space="preserve"> </w:t>
      </w:r>
      <w:r>
        <w:rPr>
          <w:rStyle w:val="VerbatimChar"/>
        </w:rPr>
        <w:t xml:space="preserve">docs/06-root-cause/evidence-confidence-matrix.md</w:t>
      </w:r>
    </w:p>
    <w:p>
      <w:pPr>
        <w:numPr>
          <w:ilvl w:val="0"/>
          <w:numId w:val="1015"/>
        </w:numPr>
        <w:pStyle w:val="Compact"/>
      </w:pPr>
      <w:r>
        <w:t xml:space="preserve">Rubric:</w:t>
      </w:r>
      <w:r>
        <w:t xml:space="preserve"> </w:t>
      </w:r>
      <w:r>
        <w:rPr>
          <w:rStyle w:val="VerbatimChar"/>
        </w:rPr>
        <w:t xml:space="preserve">docs/43-rubric-traceability/readiness-assessment.md</w:t>
      </w:r>
    </w:p>
    <w:p>
      <w:pPr>
        <w:numPr>
          <w:ilvl w:val="0"/>
          <w:numId w:val="1015"/>
        </w:numPr>
        <w:pStyle w:val="Compact"/>
      </w:pPr>
      <w:r>
        <w:t xml:space="preserve">Decisions:</w:t>
      </w:r>
      <w:r>
        <w:t xml:space="preserve"> </w:t>
      </w:r>
      <w:r>
        <w:rPr>
          <w:rStyle w:val="VerbatimChar"/>
        </w:rPr>
        <w:t xml:space="preserve">docs/44-decisions/open-questions-register-v2.md</w:t>
      </w:r>
      <w:r>
        <w:t xml:space="preserve">,</w:t>
      </w:r>
      <w:r>
        <w:t xml:space="preserve"> </w:t>
      </w:r>
      <w:r>
        <w:rPr>
          <w:rStyle w:val="VerbatimChar"/>
        </w:rPr>
        <w:t xml:space="preserve">docs/44-decisions/cto-signoff-pack.md</w:t>
      </w:r>
    </w:p>
    <w:p>
      <w:pPr>
        <w:numPr>
          <w:ilvl w:val="0"/>
          <w:numId w:val="1015"/>
        </w:numPr>
        <w:pStyle w:val="Compact"/>
      </w:pPr>
      <w:r>
        <w:t xml:space="preserve">Second model:</w:t>
      </w:r>
      <w:r>
        <w:t xml:space="preserve"> </w:t>
      </w:r>
      <w:r>
        <w:rPr>
          <w:rStyle w:val="VerbatimChar"/>
        </w:rPr>
        <w:t xml:space="preserve">docs/40-scale/model-comparison.md</w:t>
      </w:r>
    </w:p>
    <w:p>
      <w:pPr>
        <w:numPr>
          <w:ilvl w:val="0"/>
          <w:numId w:val="1015"/>
        </w:numPr>
        <w:pStyle w:val="Compact"/>
      </w:pPr>
      <w:r>
        <w:t xml:space="preserve">Semantic layer:</w:t>
      </w:r>
      <w:r>
        <w:t xml:space="preserve"> </w:t>
      </w:r>
      <w:r>
        <w:rPr>
          <w:rStyle w:val="VerbatimChar"/>
        </w:rPr>
        <w:t xml:space="preserve">semantic-layer/SEMANTIC-COMPLETENESS.md</w:t>
      </w:r>
    </w:p>
    <w:p>
      <w:pPr>
        <w:numPr>
          <w:ilvl w:val="0"/>
          <w:numId w:val="1015"/>
        </w:numPr>
        <w:pStyle w:val="Compact"/>
      </w:pPr>
      <w:r>
        <w:t xml:space="preserve">Tests and coverage: re-run on 2026-10-08 (181 passed, 1 skipped, 7 expected xfail; 97%)</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image" Id="rId47" Target="media/rId47.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Brownfield to Repo 2.0: CTO Briefing</dc:title>
  <dc:creator>Delta-Team (operator Dinesh, with Claude)</dc:creator>
  <cp:keywords/>
  <dcterms:created xsi:type="dcterms:W3CDTF">2026-10-08T17:21:31Z</dcterms:created>
  <dcterms:modified xsi:type="dcterms:W3CDTF">2026-10-08T17:21:31Z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8 October 2026</vt:lpwstr>
  </property>
  <property fmtid="{D5CDD505-2E9C-101B-9397-08002B2CF9AE}" pid="3" name="subtitle">
    <vt:lpwstr>Logistics shipment, fleet, routing and exception operations</vt:lpwstr>
  </property>
</Properties>
</file>