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ac6ef3f1bb136fc5a7a93d6f7aeae9fb275d52"/>
    <w:p>
      <w:pPr>
        <w:pStyle w:val="Heading1"/>
      </w:pPr>
      <w:r>
        <w:t xml:space="preserve">AI FDE Capstone — Feasibility Check of the 28 Guidelines</w:t>
      </w:r>
    </w:p>
    <w:p>
      <w:pPr>
        <w:pStyle w:val="FirstParagraph"/>
      </w:pPr>
      <w:r>
        <w:rPr>
          <w:bCs/>
          <w:b/>
        </w:rPr>
        <w:t xml:space="preserve">Prepared:</w:t>
      </w:r>
      <w:r>
        <w:t xml:space="preserve"> </w:t>
      </w:r>
      <w:r>
        <w:t xml:space="preserve">2026-10-25 ·</w:t>
      </w:r>
      <w:r>
        <w:t xml:space="preserve"> </w:t>
      </w:r>
      <w:r>
        <w:rPr>
          <w:bCs/>
          <w:b/>
        </w:rPr>
        <w:t xml:space="preserve">Repo assessed:</w:t>
      </w:r>
      <w:r>
        <w:t xml:space="preserve"> </w:t>
      </w:r>
      <w:r>
        <w:rPr>
          <w:rStyle w:val="VerbatimChar"/>
        </w:rPr>
        <w:t xml:space="preserve">gxp-quality-hub-legacy</w:t>
      </w:r>
      <w:r>
        <w:t xml:space="preserve"> </w:t>
      </w:r>
      <w:r>
        <w:t xml:space="preserve">(main</w:t>
      </w:r>
      <w:r>
        <w:t xml:space="preserve"> </w:t>
      </w:r>
      <w:r>
        <w:rPr>
          <w:rStyle w:val="VerbatimChar"/>
        </w:rPr>
        <w:t xml:space="preserve">a2b4828</w:t>
      </w:r>
      <w:r>
        <w:t xml:space="preserve">, Stage 43 merged) ·</w:t>
      </w:r>
      <w:r>
        <w:t xml:space="preserve"> </w:t>
      </w:r>
      <w:r>
        <w:rPr>
          <w:bCs/>
          <w:b/>
        </w:rPr>
        <w:t xml:space="preserve">Source of the guidelines:</w:t>
      </w:r>
      <w:r>
        <w:t xml:space="preserve"> </w:t>
      </w:r>
      <w:r>
        <w:rPr>
          <w:rStyle w:val="VerbatimChar"/>
        </w:rPr>
        <w:t xml:space="preserve">AI_FDE_Capstone_—Final_Presentation_Guidelines.pdf</w:t>
      </w:r>
    </w:p>
    <w:p>
      <w:pPr>
        <w:pStyle w:val="BodyText"/>
      </w:pPr>
      <w:r>
        <w:rPr>
          <w:bCs/>
          <w:b/>
        </w:rPr>
        <w:t xml:space="preserve">Scope you gave me:</w:t>
      </w:r>
      <w:r>
        <w:t xml:space="preserve"> </w:t>
      </w:r>
      <w:r>
        <w:t xml:space="preserve">go through each point, say whether the required artifact can be created, and treat the Stage 42 (Executive Defence) deliverable as already done.</w:t>
      </w:r>
      <w:r>
        <w:t xml:space="preserve"> </w:t>
      </w:r>
      <w:r>
        <w:t xml:space="preserve">This document only</w:t>
      </w:r>
      <w:r>
        <w:t xml:space="preserve"> </w:t>
      </w:r>
      <w:r>
        <w:rPr>
          <w:iCs/>
          <w:i/>
        </w:rPr>
        <w:t xml:space="preserve">checks</w:t>
      </w:r>
      <w:r>
        <w:t xml:space="preserve"> </w:t>
      </w:r>
      <w:r>
        <w:t xml:space="preserve">feasibility. It does not build the apps, deck or demo. The one thing built now is the</w:t>
      </w:r>
      <w:r>
        <w:t xml:space="preserve"> </w:t>
      </w:r>
      <w:r>
        <w:rPr>
          <w:bCs/>
          <w:b/>
        </w:rPr>
        <w:t xml:space="preserve">semantic layer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semantic-layer/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X4046dc02cf4dff53a7389b373bc7668238d8f6f"/>
    <w:p>
      <w:pPr>
        <w:pStyle w:val="Heading2"/>
      </w:pPr>
      <w:r>
        <w:t xml:space="preserve">1. Read this first — five findings that change the plan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15023" w:type="dxa"/>
        <w:tblLayout w:type="fixed"/>
      </w:tblPr>
      <w:tblGrid>
        <w:gridCol w:w="1133"/>
        <w:gridCol w:w="5180"/>
        <w:gridCol w:w="5180"/>
        <w:gridCol w:w="3528"/>
      </w:tblGrid>
      <w:tr>
        <w:trPr>
          <w:tblHeader w:val="true"/>
          <w:tblHeader/>
          <w:cantSplit/>
        </w:trPr>
        <w:tc>
          <w:tcPr>
            <w:tcW w:type="dxa" w:w="1134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5181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tcW w:type="dxa" w:w="5181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Why it matters</w:t>
            </w:r>
          </w:p>
        </w:tc>
        <w:tc>
          <w:tcPr>
            <w:tcW w:type="dxa" w:w="3529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F-1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The product is formally No-AI.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You answered "Accept No-AI" (OD-08, 2026-10-18); FR-CO-04 / PNFR-18 forbid any LLM/ML call; Stages 19 (Intelligence) and 22 (Agentic) are NOT APPLICABLE.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Guidelines #6 (agentic AI), #7 (knowledge graphs), #17 (AI intelligence in demo), #24 (GenAI justification) cannot be met "as written" by the current build. They need either (a) an honest "GenAI deliberately not used, here is why" story, or (b) a new decision to re-qualify AI (triggers RQ-1..RQ-3).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Updated 25 Oct: you chose to add an advisory OpenAI assistant (autonomy A1) on top of the deterministic core; recorded as OD-40 in the semantic layer.</w:t>
            </w:r>
          </w:p>
        </w:tc>
        <w:tc>
          <w:tcPr>
            <w:tcW w:type="dxa" w:w="352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.fde/orchestrator-decisions.md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OD-08;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docs/08-ai-qualification/qualification-decision.md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QD-1, QD-3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F-2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"Two functional applications" is not yet satisfied.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One app exists: the shadow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hub/</w:t>
            </w:r>
            <w:r>
              <w:rPr>
                <w:rFonts w:ascii="Arial" w:hAnsi="Arial"/>
                <w:sz w:val="17"/>
              </w:rPr>
              <w:t xml:space="preserve">. The second ("Context-Lake ported application") is the app regenerated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from the semantic layer with a different model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(challenge guide: Develop APP → Test semantic layer with new model → Compare both).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Needs to be built later. The semantic layer captured now is its input.</w:t>
            </w:r>
          </w:p>
        </w:tc>
        <w:tc>
          <w:tcPr>
            <w:tcW w:type="dxa" w:w="352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semantic-layer-build.txt</w:t>
            </w:r>
            <w:r>
              <w:rPr>
                <w:rFonts w:ascii="Arial" w:hAnsi="Arial"/>
                <w:sz w:val="17"/>
              </w:rPr>
              <w:t xml:space="preserve">; challenge guide p.6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F-3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Release is BLOCKED and value is not computable.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0 of 40 approvals, evaluator says NO-GO, ROI/NPV/payback "NOT COMPUTABLE", no after-window.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Guidelines #14, #21, #23 ask for measured improvement. Only parity and mechanism-level evidence exists. I will not invent numbers; the deck must say so (the repo's own pitch rules forbid "saves X %", "production-ready", "AI-powered").</w:t>
            </w:r>
          </w:p>
        </w:tc>
        <w:tc>
          <w:tcPr>
            <w:tcW w:type="dxa" w:w="352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docs/final-prd/final-as-built-prd.md</w:t>
            </w:r>
            <w:r>
              <w:rPr>
                <w:rFonts w:ascii="Arial" w:hAnsi="Arial"/>
                <w:sz w:val="17"/>
              </w:rPr>
              <w:t xml:space="preserve">;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docs/42-executive-defence/elevator-pitch.md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EP-4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F-4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Birlasoft branding assets are not in the folder (updated 25 Oct: styled from the annual-report sample you provided).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No logo, corporate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.potx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template or brand guideline found.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Guideline #15 (and the visual quality of #16/#25) is blocked until you provide approved assets.</w:t>
            </w:r>
          </w:p>
        </w:tc>
        <w:tc>
          <w:tcPr>
            <w:tcW w:type="dxa" w:w="3529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folder listing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F-5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UI is thin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Oct: the Command Centre adds 9 views over the hub). 7 server-rendered screens/actions, loopback only, standard library only (no TLS).</w:t>
            </w:r>
          </w:p>
        </w:tc>
        <w:tc>
          <w:tcPr>
            <w:tcW w:type="dxa" w:w="5181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Guideline #5 asks for dashboards, navigation, role-based experiences. Gap is real; closing it is new build work and may conflict with the stdlib-only/loopback ADRs.</w:t>
            </w:r>
          </w:p>
        </w:tc>
        <w:tc>
          <w:tcPr>
            <w:tcW w:type="dxa" w:w="3529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hub/web/ui_routes.json</w:t>
            </w:r>
            <w:r>
              <w:rPr>
                <w:rFonts w:ascii="Arial" w:hAnsi="Arial"/>
                <w:sz w:val="17"/>
              </w:rPr>
              <w:t xml:space="preserve">; ADR-014, ADR-015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01c5692f117597fbb0d72cbe3e5a24b40f052fc"/>
    <w:p>
      <w:pPr>
        <w:pStyle w:val="Heading2"/>
      </w:pPr>
      <w:r>
        <w:t xml:space="preserve">2. Legend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15023" w:type="dxa"/>
        <w:tblLayout w:type="fixed"/>
      </w:tblPr>
      <w:tblGrid>
        <w:gridCol w:w="1671"/>
        <w:gridCol w:w="13352"/>
      </w:tblGrid>
      <w:tr>
        <w:trPr>
          <w:tblHeader w:val="true"/>
          <w:tblHeader/>
          <w:cantSplit/>
        </w:trPr>
        <w:tc>
          <w:tcPr>
            <w:tcW w:type="dxa" w:w="1672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Verdict</w:t>
            </w:r>
          </w:p>
        </w:tc>
        <w:tc>
          <w:tcPr>
            <w:tcW w:type="dxa" w:w="13352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1335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Evidence exists in the repo; I can create the artifact now from it.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</w:p>
        </w:tc>
        <w:tc>
          <w:tcPr>
            <w:tcW w:type="dxa" w:w="1335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 can create most of it, with a stated gap or an honest limitation.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BLOCKED</w:t>
            </w:r>
          </w:p>
        </w:tc>
        <w:tc>
          <w:tcPr>
            <w:tcW w:type="dxa" w:w="1335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Needs something only you can provide (asset, decision), or conflicts with a recorded decision.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LATER</w:t>
            </w:r>
          </w:p>
        </w:tc>
        <w:tc>
          <w:tcPr>
            <w:tcW w:type="dxa" w:w="1335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Needs a build step that has not been done (e.g. the second app).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c789d8124c68dc9752a68d001d415f631a437b"/>
    <w:p>
      <w:pPr>
        <w:pStyle w:val="Heading2"/>
      </w:pPr>
      <w:r>
        <w:t xml:space="preserve">3. Section A — Capstone Engineering &amp; Transformation (#1–#18)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15023" w:type="dxa"/>
        <w:tblLayout w:type="fixed"/>
      </w:tblPr>
      <w:tblGrid>
        <w:gridCol w:w="1133"/>
        <w:gridCol w:w="1133"/>
        <w:gridCol w:w="1133"/>
        <w:gridCol w:w="3185"/>
        <w:gridCol w:w="3185"/>
        <w:gridCol w:w="3185"/>
        <w:gridCol w:w="2064"/>
      </w:tblGrid>
      <w:tr>
        <w:trPr>
          <w:tblHeader w:val="true"/>
          <w:tblHeader/>
          <w:cantSplit/>
        </w:trPr>
        <w:tc>
          <w:tcPr>
            <w:tcW w:type="dxa" w:w="1134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1134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Guideline</w:t>
            </w:r>
          </w:p>
        </w:tc>
        <w:tc>
          <w:tcPr>
            <w:tcW w:type="dxa" w:w="1134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Verdict</w:t>
            </w:r>
          </w:p>
        </w:tc>
        <w:tc>
          <w:tcPr>
            <w:tcW w:type="dxa" w:w="3186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What I can create</w:t>
            </w:r>
          </w:p>
        </w:tc>
        <w:tc>
          <w:tcPr>
            <w:tcW w:type="dxa" w:w="3186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What the repo already gives me</w:t>
            </w:r>
          </w:p>
        </w:tc>
        <w:tc>
          <w:tcPr>
            <w:tcW w:type="dxa" w:w="3186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Gap / limitation</w:t>
            </w:r>
          </w:p>
        </w:tc>
        <w:tc>
          <w:tcPr>
            <w:tcW w:type="dxa" w:w="2064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Needs from you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42-Stage AI FDE Spine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Spine coverage &amp; adaptation log</w:t>
            </w:r>
            <w:r>
              <w:rPr>
                <w:rFonts w:ascii="Arial" w:hAnsi="Arial"/>
                <w:sz w:val="17"/>
              </w:rPr>
              <w:t xml:space="preserve">: one row per stage (00A–43) with status, depth, what was adapted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46 stage prompts executed 0A→43; statuses in git log + OD-01..OD-39. N/A: 19, 22. BLOCKED: 30, 38, 41, 43. Most others CONDITIONAL PASS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Statuses are the agent's own; no external review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Prompt Adaptability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Prompt adaptation register</w:t>
            </w:r>
            <w:r>
              <w:rPr>
                <w:rFonts w:ascii="Arial" w:hAnsi="Arial"/>
                <w:sz w:val="17"/>
              </w:rPr>
              <w:t xml:space="preserve">: what was added, combined, skipped or changed and why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Added pre-flight 0A/0B/0C; Stage 19/22 skipped by decision; path deviations (S28-DEV-05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28-reliability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vs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28-resilience</w:t>
            </w:r>
            <w:r>
              <w:rPr>
                <w:rFonts w:ascii="Arial" w:hAnsi="Arial"/>
                <w:sz w:val="17"/>
              </w:rPr>
              <w:t xml:space="preserve">, S43-DEV-01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final-prd</w:t>
            </w:r>
            <w:r>
              <w:rPr>
                <w:rFonts w:ascii="Arial" w:hAnsi="Arial"/>
                <w:sz w:val="17"/>
              </w:rPr>
              <w:t xml:space="preserve">); "test once" and parallel doc stages (OD-23). The two prompt copies (</w:t>
            </w:r>
            <w:r>
              <w:rPr>
                <w:rStyle w:val="VerbatimChar"/>
                <w:rFonts w:ascii="Arial" w:hAnsi="Arial"/>
                <w:sz w:val="17"/>
              </w:rPr>
              <w:t xml:space="preserve">FDE_Stage_System_Prompts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and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.fde/stage-prompts</w:t>
            </w:r>
            <w:r>
              <w:rPr>
                <w:rFonts w:ascii="Arial" w:hAnsi="Arial"/>
                <w:sz w:val="17"/>
              </w:rPr>
              <w:t xml:space="preserve">) are byte-identical, so no prompt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text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was edited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Adaptations were made in execution, not by editing prompts (LL-16 says fix paths at source)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Confirm if you edited any prompt elsewhere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Enterprise Context Lake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Context-Lake manifest</w:t>
            </w:r>
            <w:r>
              <w:rPr>
                <w:rFonts w:ascii="Arial" w:hAnsi="Arial"/>
                <w:sz w:val="17"/>
              </w:rPr>
              <w:t xml:space="preserve">: versioned index of every context asset (978 doc files, ADR-001..018, OD log, specs, schemas, evidence logs, semantic layer) with type, stage, hash and evidence tier [Verified Fact/Inference/Assumption/Unknown]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Evidence-tagged docs, SHA256SUMS files, traceability matrix (docs/13), package graph, semantic layer (new)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 queryable store; "code intelligence" is a text package graph, not an index.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Naming clash: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data/lake/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in the repo is synthetic event data,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not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the Context Lake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Confirm the Context Lake may be a file-based manifest + semantic layer rather than a database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Two functional applications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App A = legacy estate; App B = shadow hub +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GxP Quality Command Centre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</w:t>
            </w:r>
            <w:r>
              <w:rPr>
                <w:rStyle w:val="VerbatimChar"/>
                <w:rFonts w:ascii="Arial" w:hAnsi="Arial"/>
                <w:sz w:val="17"/>
              </w:rPr>
              <w:t xml:space="preserve">04_Quality_Command_Centre/</w:t>
            </w:r>
            <w:r>
              <w:rPr>
                <w:rFonts w:ascii="Arial" w:hAnsi="Arial"/>
                <w:sz w:val="17"/>
              </w:rPr>
              <w:t xml:space="preserve">) with an advisory OpenAI assistant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Legacy app, hub (204 py files, 17,247 lines), Command Centre (9 views) reusing the hub's intake, metrics and crosswalk code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The 'regenerated from the semantic layer on a second model' portability run has not been done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Access to a second model if the portability comparison is wanted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Enterprise-grade UI/UX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Running Command Centre: executive overview, cases with trace drawer, intake &amp; exception queues, month-end truth, definitions, Zone H gate, AI assistant, release evidence, system; 6 role personas, deny-by-default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Hub's 7 server-rendered screens remain the system of record for actions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Read-only (no reviewer writes in the new UI); personas are demo personas, not authentication; loopback only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6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Agentic AI engineering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Advisory assistant (autonomy A1) with guard → retrieve → wrap → generate → label/log pipeline; Zone H refusals for AI actors; autonomy ladder A0–A5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You chose to add an OpenAI assistant (25 Oct). Core decision path stays deterministic (OD-08). Multi-step planning agents (A4) are not built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 multi-step agent or tool orchestration; assistant not evaluated on real documents (RQ-1)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Decide whether an A2 'draft evidence pack for human approval' agent is in scope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7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Knowledge graphs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Graph export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from the semantic layer: nodes/edges JSON + Mermaid diagram; optional RDF/Turtle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relationships.yaml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(new), crosswalk (7 id types, 6 link-type codes / 8 type pairs, 168 exact-key links), joined view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Stage 11 chose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no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graph database; enterprise graph has one untyped relation (</w:t>
            </w:r>
            <w:r>
              <w:rPr>
                <w:rStyle w:val="VerbatimChar"/>
                <w:rFonts w:ascii="Arial" w:hAnsi="Arial"/>
                <w:sz w:val="17"/>
              </w:rPr>
              <w:t xml:space="preserve">relates_to</w:t>
            </w:r>
            <w:r>
              <w:rPr>
                <w:rFonts w:ascii="Arial" w:hAnsi="Arial"/>
                <w:sz w:val="17"/>
              </w:rPr>
              <w:t xml:space="preserve">, ER-11-02). "Justified by use case" is arguable for explainability only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 (I can proceed with the lightweight export)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Semantic Layer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 — done now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Delivered: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semantic-layer/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(glossary, entities, relationships, status taxonomy, business rules, metrics, access semantics, AI-context policy, workflows, constraints, context dependencies, JSON schema, generated JSON, tests, assessment)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See §6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Not yet proven portable — requires the model-swap test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Run the portability test when ready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9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Specification-Driven Development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SDD evidence index</w:t>
            </w:r>
            <w:r>
              <w:rPr>
                <w:rFonts w:ascii="Arial" w:hAnsi="Arial"/>
                <w:sz w:val="17"/>
              </w:rPr>
              <w:t xml:space="preserve">: requirement → spec → contract → ADR → acceptance criterion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52 FRs + 20 PNFRs, 48 spec business rules (SBR), 10 feature specs, OpenAPI (48 ops), 16 JSON schemas, DDL, AC-* criteria, 18 ADRs (all still DRAFT status)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ADRs never individually ACCEPTED (AB-AR-7)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10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Test-Driven Development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Test pyramid &amp; evidence summary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(characterization, unit, integration, regression, contract, e2e, mutation)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Characterization harness 134/134; mutation gate 15/15 (vs shipped suite 1/15); 396 ok / 1 skipped at Stage 16; 419 methods at Stage 20, 31 regression groups green at final merge; planned tests per increment written before build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CT-13 fails on Node patch drift; test totals not re-run at final HEAD (U-43-12); no CI installed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Permission to re-run in a sandbox copy if you want fresh numbers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11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Security &amp; Threat Modeling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Security story</w:t>
            </w:r>
            <w:r>
              <w:rPr>
                <w:rFonts w:ascii="Arial" w:hAnsi="Arial"/>
                <w:sz w:val="17"/>
              </w:rPr>
              <w:t xml:space="preserve">: threat model, attack surface, control matrix, red-team results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docs/24-security-privacy/*</w:t>
            </w:r>
            <w:r>
              <w:rPr>
                <w:rFonts w:ascii="Arial" w:hAnsi="Arial"/>
                <w:sz w:val="17"/>
              </w:rPr>
              <w:t xml:space="preserve">, TEVV (11 findings, no Critical, 1 High fixed under assumption), Stage 27 hardening (F-01..F-07 fixed)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 LLM/RAG/agent threats because there is no AI; no TLS, no 2FA, no external pen test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12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Compliance &amp; Governance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(with wording limits)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Compliance &amp; governance summary</w:t>
            </w:r>
            <w:r>
              <w:rPr>
                <w:rFonts w:ascii="Arial" w:hAnsi="Arial"/>
                <w:sz w:val="17"/>
              </w:rPr>
              <w:t xml:space="preserve">: obligations OB-01..OB-16, control matrix, system card, model card, AI-system register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docs/25-governance/*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You decided "Part 11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framing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only, no 'compliant' claims" (OD-30). Retention is hold-all; privacy regime not assessed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13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Production Engineering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Built-vs-wired readiness matrix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(observability, resilience, rollback, performance, scalability, ops readiness)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Stages 27–31: runbook, SLO candidates (5), failure injection, backup/restore + rollback rehearsal, RTO/RPO targets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Resilience, observability exports, release evaluator, CI file exist but are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not wired/installed</w:t>
            </w:r>
            <w:r>
              <w:rPr>
                <w:rFonts w:ascii="Arial" w:hAnsi="Arial"/>
                <w:sz w:val="17"/>
              </w:rPr>
              <w:t xml:space="preserve">; no deployed environment; 24 of 38 readiness checks met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Decide whether to wire them before the demo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14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Evidence-Based Comparison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 / LATER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Comparison harness design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+ scenario set; legacy-vs-hub table from Stage 34/35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Identical scenarios exist (FX-BASE125, goldens). Only 3 like-for-like KPI pairs, all "sandbox parity"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Needs App B for A-vs-B. ROI not computable; latency has no target; model cost is USD 0 by design. No improvement can be claimed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App B (see #4)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15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Birlasoft Branding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Deck, Command Centre and diagrams styled from the Birlasoft Annual Report 2024-25 sample (wordmark, red/grey palette, two-line grey + red headings)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Requried-External-Input/sample-Birlasoft-PPTx.pdf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 official .potx template or brand guideline; fonts substituted with Arial (the report uses Locator)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Official template if one exists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Board-Level Presentation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05_CTO_Presentation/GxP_Quality_Hub_CTO_Presentation.pptx</w:t>
            </w:r>
            <w:r>
              <w:rPr>
                <w:rFonts w:ascii="Arial" w:hAnsi="Arial"/>
                <w:sz w:val="17"/>
              </w:rPr>
              <w:t xml:space="preserve">: 31 slides with speaker notes (Team Delta on the title slide; before/now architecture, hub module map and engineering comparison slides), CTO audience, 3W + How, problem → solution → functional flow → technical implementation → evidence → value → lessons → moonshots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Stage 42 content, Command Centre screenshots, input brief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Input-for-PresentationsDeck.txt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Value slides state 'not computable' where true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Rehearse timing (about 1.5 min per slide)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17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Live End-to-End Demonstration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Oct)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Command Centre live demo on the local machine with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Python 3.14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</w:t>
            </w:r>
            <w:r>
              <w:rPr>
                <w:rStyle w:val="VerbatimChar"/>
                <w:rFonts w:ascii="Arial" w:hAnsi="Arial"/>
                <w:sz w:val="17"/>
              </w:rPr>
              <w:t xml:space="preserve">start-windows.bat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py -3.14 run.py</w:t>
            </w:r>
            <w:r>
              <w:rPr>
                <w:rFonts w:ascii="Arial" w:hAnsi="Arial"/>
                <w:sz w:val="17"/>
              </w:rPr>
              <w:t xml:space="preserve">); 8-minute demo path in its README; deck slides 18–21 are the recorded fallback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Tested on Python 3.14.6 and 3.10.12; 15 app tests pass; reproduces 89/125, 742,956.61 vs 622,826.44, 8,335 queue items, replay Δ 0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The hub's own test suite has not been re-run on 3.14 (goldens were recorded on 3.10, LL-18)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Optional: set OPENAI_API_KEY to show model mode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18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Engineering Evidence &amp; Traceability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7"/>
              </w:rPr>
              <w:t xml:space="preserve">Evidence index</w:t>
            </w:r>
            <w:r>
              <w:rPr>
                <w:rFonts w:ascii="Arial" w:hAnsi="Arial"/>
                <w:sz w:val="17"/>
              </w:rPr>
              <w:t xml:space="preserve">: claim → artifact → test/log → hash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Claims register C-01..C-34, RTM (docs/13), SHA256SUMS per stage, golden manifests</w:t>
            </w:r>
          </w:p>
        </w:tc>
        <w:tc>
          <w:tcPr>
            <w:tcW w:type="dxa" w:w="3186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Human sign-offs are all open</w:t>
            </w:r>
          </w:p>
        </w:tc>
        <w:tc>
          <w:tcPr>
            <w:tcW w:type="dxa" w:w="20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9a0790e3415a2c81e16f9402fe87dd82ab0d219"/>
    <w:p>
      <w:pPr>
        <w:pStyle w:val="Heading2"/>
      </w:pPr>
      <w:r>
        <w:t xml:space="preserve">4. Section B — Final Presentation &amp; Executive Defence (#19–#28)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15023" w:type="dxa"/>
        <w:tblLayout w:type="fixed"/>
      </w:tblPr>
      <w:tblGrid>
        <w:gridCol w:w="1133"/>
        <w:gridCol w:w="1081"/>
        <w:gridCol w:w="1133"/>
        <w:gridCol w:w="3416"/>
        <w:gridCol w:w="3365"/>
        <w:gridCol w:w="3416"/>
        <w:gridCol w:w="1475"/>
      </w:tblGrid>
      <w:tr>
        <w:trPr>
          <w:tblHeader w:val="true"/>
          <w:tblHeader/>
          <w:cantSplit/>
        </w:trPr>
        <w:tc>
          <w:tcPr>
            <w:tcW w:type="dxa" w:w="1134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1082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Guideline</w:t>
            </w:r>
          </w:p>
        </w:tc>
        <w:tc>
          <w:tcPr>
            <w:tcW w:type="dxa" w:w="1134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Verdict</w:t>
            </w:r>
          </w:p>
        </w:tc>
        <w:tc>
          <w:tcPr>
            <w:tcW w:type="dxa" w:w="3417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What I can create</w:t>
            </w:r>
          </w:p>
        </w:tc>
        <w:tc>
          <w:tcPr>
            <w:tcW w:type="dxa" w:w="3365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Already in repo (Stage 42 and earlier)</w:t>
            </w:r>
          </w:p>
        </w:tc>
        <w:tc>
          <w:tcPr>
            <w:tcW w:type="dxa" w:w="3417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Gap / limitation</w:t>
            </w:r>
          </w:p>
        </w:tc>
        <w:tc>
          <w:tcPr>
            <w:tcW w:type="dxa" w:w="1475"/>
            <w:shd w:val="clear" w:color="auto" w:fill="4A4A4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Needs from you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19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Time-boxed (40 + 10 min)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Minute-by-minute run-of-show with demo cut-points and Q&amp;A bank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demo-day-script.md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(15–20 min) to extend to 40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Needs the second app for a full 40 min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Confirm demo order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20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Compelling storytelling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(honest framing)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Narrative arc: problem → consequences → journey → outcomes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executive-narrative.md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problem-to-value-story.md</w:t>
            </w:r>
            <w:r>
              <w:rPr>
                <w:rFonts w:ascii="Arial" w:hAnsi="Arial"/>
                <w:sz w:val="17"/>
              </w:rPr>
              <w:t xml:space="preserve">. Data hooks: month-end total 742,956.61 vs 622,826.44 (19.3 % join fan-out); 97.98 % of feed rows unmatched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Consequences are not quantified in money; no real stakeholders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21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Problem → Solution → Impact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One-page P→S→I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Eight confirmed root causes RC-1..RC-8; solution = 10 capabilities; impact = parity + risk-control mechanisms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"Business value delivered" is not measurable today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22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Business + technical balance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Slide-budget plan (equal weight)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Business: personas, KPIs, value hypothesis. Technical: ADRs, specs, tests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23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Before vs After KPIs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KPI before/after charts for 22 KPIs, colour-coded by comparability class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Stage 34 sheet. Comparable: backlog 89/125 (parity), reopen rate 6.4 % (parity), replay safety Δ0, decisions recorded 0→2 of 2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Most KPIs Unknown (no closure/evidence timestamps). K-03 0 %→4/4 is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not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like-for-like. Productivity/performance have no baseline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Decide whether to add measured build-effort data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24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GenAI Value Justification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(updated 25 Oct)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Deck slides 'Which gains came from AI' and 'What AI can and cannot do'; assistant demonstrates grounded explanation with citations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ai-decision-defence.md</w:t>
            </w:r>
            <w:r>
              <w:rPr>
                <w:rFonts w:ascii="Arial" w:hAnsi="Arial"/>
                <w:sz w:val="17"/>
              </w:rPr>
              <w:t xml:space="preserve">; Command Centre assistant; semantic layer as model-portable context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Every measured improvement came from traditional engineering; AI value (reviewer time, answer quality) is not yet measured; build-effort saving not recorded (LL-14)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 labelled question set (RQ-1) to evaluate the assistant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25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Visual-first communication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Architecture, workflow, graph, KPI and traceability diagrams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Component model, ADRs, workflows, semantic layer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Branding (#15)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Branding assets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26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Evidence-based demonstration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Proof-of-work bundle: logs, test outputs, hashes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s30-log-*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docs/16-repo-validation/evidence</w:t>
            </w:r>
            <w:r>
              <w:rPr>
                <w:rFonts w:ascii="Arial" w:hAnsi="Arial"/>
                <w:sz w:val="17"/>
              </w:rPr>
              <w:t xml:space="preserve">, TEVV evidence, golden compare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Fresh run optional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27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End-to-end transformation traceability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PARTIAL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Traceability ribbon: discovery (S5/7) → rule extraction (S6/12) → architecture (S10) → modernization (S15) → validation (S16/26) → readiness (S30) → semantic layer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All stages documented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"AI integration" step is N/A; production readiness = BLOCKED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28</w:t>
            </w:r>
          </w:p>
        </w:tc>
        <w:tc>
          <w:tcPr>
            <w:tcW w:type="dxa" w:w="1082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Crisp lessons learned (4–5)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YES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Five lessons distilled from the 18 recorded (engineering, business, GenAI limits, unexpected, future)</w:t>
            </w:r>
          </w:p>
        </w:tc>
        <w:tc>
          <w:tcPr>
            <w:tcW w:type="dxa" w:w="336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lessons-learned.md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LL-01..LL-18</w:t>
            </w:r>
          </w:p>
        </w:tc>
        <w:tc>
          <w:tcPr>
            <w:tcW w:type="dxa" w:w="3417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Lessons about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GenAI limits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come from the build process, not product use</w:t>
            </w:r>
          </w:p>
        </w:tc>
        <w:tc>
          <w:tcPr>
            <w:tcW w:type="dxa" w:w="1475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Tally (all 28, updated 25 Oct 2026):</w:t>
      </w:r>
      <w:r>
        <w:t xml:space="preserve"> </w:t>
      </w:r>
      <w:r>
        <w:t xml:space="preserve">YES 17 (#1, 2, 5, 8, 9, 10, 11, 12, 16, 17, 18, 19, 20, 22, 25, 26, 28) · PARTIAL 11 (#3, 4, 6, 7, 13, 14, 15, 21, 23, 24, 27) · BLOCKED 0 · LATER 0. Previous tally (first check): YES 14 · PARTIAL 10 · BLOCKED 3 · LATER 1.</w:t>
      </w:r>
    </w:p>
    <w:p>
      <w:r>
        <w:pict>
          <v:rect style="width:0;height:1.5pt" o:hralign="center" o:hrstd="t" o:hr="t"/>
        </w:pict>
      </w:r>
    </w:p>
    <w:bookmarkEnd w:id="23"/>
    <w:bookmarkStart w:id="24" w:name="X0cebb31c6047597d8ea4b54e9207a62ca05c7ac"/>
    <w:p>
      <w:pPr>
        <w:pStyle w:val="Heading2"/>
      </w:pPr>
      <w:r>
        <w:t xml:space="preserve">5. What I need from you (ordered by impact)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AI stance</w:t>
      </w:r>
      <w:r>
        <w:t xml:space="preserve"> </w:t>
      </w:r>
      <w:r>
        <w:rPr>
          <w:bCs/>
          <w:b/>
        </w:rPr>
        <w:t xml:space="preserve">Decided 25 Oct:</w:t>
      </w:r>
      <w:r>
        <w:t xml:space="preserve"> </w:t>
      </w:r>
      <w:r>
        <w:t xml:space="preserve">add an advisory OpenAI assistant (A1) on the deterministic core. Remaining: a labelled question set to evaluate it (RQ-1, #24).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Brand assets</w:t>
      </w:r>
      <w:r>
        <w:t xml:space="preserve"> </w:t>
      </w:r>
      <w:r>
        <w:rPr>
          <w:bCs/>
          <w:b/>
        </w:rPr>
        <w:t xml:space="preserve">Partly met 25 Oct:</w:t>
      </w:r>
      <w:r>
        <w:t xml:space="preserve"> </w:t>
      </w:r>
      <w:r>
        <w:t xml:space="preserve">styled from the annual-report sample. Remaining: an official template, if one exists (#15).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Portability run (#4, #14):</w:t>
      </w:r>
      <w:r>
        <w:t xml:space="preserve"> </w:t>
      </w:r>
      <w:r>
        <w:t xml:space="preserve">access to a second model to regenerate the PRD/app from the semantic layer and compare.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Wire the built-but-unwired controls?</w:t>
      </w:r>
      <w:r>
        <w:t xml:space="preserve"> </w:t>
      </w:r>
      <w:r>
        <w:t xml:space="preserve">(#13)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Pilot window / after-window</w:t>
      </w:r>
      <w:r>
        <w:t xml:space="preserve"> </w:t>
      </w:r>
      <w:r>
        <w:t xml:space="preserve">for measured before-vs-after (#21, #23, #14).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Demo machine</w:t>
      </w:r>
      <w:r>
        <w:t xml:space="preserve"> </w:t>
      </w:r>
      <w:r>
        <w:rPr>
          <w:bCs/>
          <w:b/>
        </w:rPr>
        <w:t xml:space="preserve">Decided 25 Oct:</w:t>
      </w:r>
      <w:r>
        <w:t xml:space="preserve"> </w:t>
      </w:r>
      <w:r>
        <w:t xml:space="preserve">local machine, Python 3.14.</w:t>
      </w:r>
    </w:p>
    <w:bookmarkEnd w:id="24"/>
    <w:bookmarkStart w:id="25" w:name="X1e3b2831c7329b2842727180360894397fb7598"/>
    <w:p>
      <w:pPr>
        <w:pStyle w:val="Heading2"/>
      </w:pPr>
      <w:r>
        <w:t xml:space="preserve">6. What was delivered</w:t>
      </w:r>
    </w:p>
    <w:p>
      <w:pPr>
        <w:numPr>
          <w:ilvl w:val="0"/>
          <w:numId w:val="1002"/>
        </w:numPr>
      </w:pPr>
      <w:r>
        <w:t xml:space="preserve">25 Oct update:</w:t>
      </w:r>
      <w:r>
        <w:t xml:space="preserve"> </w:t>
      </w:r>
      <w:r>
        <w:rPr>
          <w:rStyle w:val="VerbatimChar"/>
        </w:rPr>
        <w:t xml:space="preserve">04_Quality_Command_Centre/</w:t>
      </w:r>
      <w:r>
        <w:t xml:space="preserve"> </w:t>
      </w:r>
      <w:r>
        <w:t xml:space="preserve">(running UI + OpenAI assistant, Python 3.14),</w:t>
      </w:r>
      <w:r>
        <w:t xml:space="preserve"> </w:t>
      </w:r>
      <w:r>
        <w:rPr>
          <w:rStyle w:val="VerbatimChar"/>
        </w:rPr>
        <w:t xml:space="preserve">05_CTO_Presentation/</w:t>
      </w:r>
      <w:r>
        <w:t xml:space="preserve"> </w:t>
      </w:r>
      <w:r>
        <w:t xml:space="preserve">(31-slide deck), demo machine = local machine, Python 3.14.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semantic-layer/</w:t>
      </w:r>
      <w:r>
        <w:t xml:space="preserve"> </w:t>
      </w:r>
      <w:r>
        <w:t xml:space="preserve">— the captured semantic layer (no app built, as you asked).</w:t>
      </w:r>
    </w:p>
    <w:p>
      <w:pPr>
        <w:numPr>
          <w:ilvl w:val="0"/>
          <w:numId w:val="1002"/>
        </w:numPr>
      </w:pPr>
      <w:r>
        <w:t xml:space="preserve">This matrix.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00_INDEX.md</w:t>
      </w:r>
      <w:r>
        <w:t xml:space="preserve"> </w:t>
      </w:r>
      <w:r>
        <w:t xml:space="preserve">— map of everything in this folder.</w:t>
      </w:r>
    </w:p>
    <w:bookmarkEnd w:id="25"/>
    <w:bookmarkStart w:id="26" w:name="X706a80f20b134d4415fd08c3d6a24752d042318"/>
    <w:p>
      <w:pPr>
        <w:pStyle w:val="Heading2"/>
      </w:pPr>
      <w:r>
        <w:t xml:space="preserve">7. Release readiness update (25 Oct 2026, evening)</w:t>
      </w:r>
    </w:p>
    <w:p>
      <w:pPr>
        <w:pStyle w:val="FirstParagraph"/>
      </w:pPr>
      <w:r>
        <w:t xml:space="preserve">Guideline verdicts are unchanged (YES 17, PARTIAL 11). What changed under #14, #21 and #23 (release status and measured improvement):</w:t>
      </w:r>
    </w:p>
    <w:p>
      <w:pPr>
        <w:numPr>
          <w:ilvl w:val="0"/>
          <w:numId w:val="1003"/>
        </w:numPr>
        <w:pStyle w:val="Compact"/>
      </w:pPr>
      <w:r>
        <w:t xml:space="preserve">T-05 now has evidence: the hub's full regression ran on Python 3.14.6 in a sandbox copy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31 of 31 groups, 586 of 586 tests executed as expected (</w:t>
      </w:r>
      <w:r>
        <w:rPr>
          <w:rStyle w:val="VerbatimChar"/>
        </w:rPr>
        <w:t xml:space="preserve">06_Release_Readiness/evidence/</w:t>
      </w:r>
      <w:r>
        <w:t xml:space="preserve">). It is not yet recorded in the repo's</w:t>
      </w:r>
      <w:r>
        <w:t xml:space="preserve"> </w:t>
      </w:r>
      <w:r>
        <w:rPr>
          <w:rStyle w:val="VerbatimChar"/>
        </w:rPr>
        <w:t xml:space="preserve">gate-results.json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repo's evaluator, fed that result, shows 17 of 20 technical criteria passing;</w:t>
      </w:r>
      <w:r>
        <w:t xml:space="preserve"> </w:t>
      </w:r>
      <w:r>
        <w:rPr>
          <w:bCs/>
          <w:b/>
        </w:rPr>
        <w:t xml:space="preserve">G1, T-09 and T-10 block</w:t>
      </w:r>
      <w:r>
        <w:t xml:space="preserve">, approvals 0 of 40. Release stays</w:t>
      </w:r>
      <w:r>
        <w:t xml:space="preserve"> </w:t>
      </w:r>
      <w:r>
        <w:rPr>
          <w:bCs/>
          <w:b/>
        </w:rPr>
        <w:t xml:space="preserve">NO-GO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sign-off workbook, T-09 / T-10 drafts and</w:t>
      </w:r>
      <w:r>
        <w:t xml:space="preserve"> </w:t>
      </w:r>
      <w:r>
        <w:rPr>
          <w:rStyle w:val="VerbatimChar"/>
        </w:rPr>
        <w:t xml:space="preserve">release_check.py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06_Release_Readiness/</w:t>
      </w:r>
      <w:r>
        <w:t xml:space="preserve">. A throwaway dry run showed G1 flips to pass once all 11 deviations are approved. Only you can approve; the hub refuses any other approver.</w:t>
      </w:r>
    </w:p>
    <w:p>
      <w:pPr>
        <w:numPr>
          <w:ilvl w:val="0"/>
          <w:numId w:val="1003"/>
        </w:numPr>
        <w:pStyle w:val="Compact"/>
      </w:pPr>
      <w:r>
        <w:t xml:space="preserve">Two repo-state findings: your working-folder</w:t>
      </w:r>
      <w:r>
        <w:t xml:space="preserve"> </w:t>
      </w:r>
      <w:r>
        <w:rPr>
          <w:rStyle w:val="VerbatimChar"/>
        </w:rPr>
        <w:t xml:space="preserve">data/legacy.sqlite3</w:t>
      </w:r>
      <w:r>
        <w:t xml:space="preserve"> </w:t>
      </w:r>
      <w:r>
        <w:t xml:space="preserve">no longer matches the Stage 0A backup checksum (the repo's own test runner refuses to run there), and on branch</w:t>
      </w:r>
      <w:r>
        <w:t xml:space="preserve"> </w:t>
      </w:r>
      <w:r>
        <w:rPr>
          <w:rStyle w:val="VerbatimChar"/>
        </w:rPr>
        <w:t xml:space="preserve">docs/readme-hub-ui</w:t>
      </w:r>
      <w:r>
        <w:t xml:space="preserve"> </w:t>
      </w:r>
      <w:r>
        <w:t xml:space="preserve">the README change fails TST-CO-05 / TST-CO-12 shard 3 (passes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bookmarkEnd w:id="26"/>
    <w:bookmarkEnd w:id="27"/>
    <w:sectPr>
      <w:footerReference w:type="default" r:id="rId9"/>
      <w:pgSz w:orient="landscape" w:w="16838" w:h="11906"/>
      <w:pgMar w:left="907" w:right="907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Team Delta · GxP Quality Hub ·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19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19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262626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2026-10-26T01:41:40Z</dcterms:created>
  <dcterms:modified xsi:type="dcterms:W3CDTF">2026-10-26T01:41:40Z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