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Xfac6ef3f1bb136fc5a7a93d6f7aeae9fb275d52"/>
    <w:p>
      <w:pPr>
        <w:pStyle w:val="Heading1"/>
      </w:pPr>
      <w:r>
        <w:t xml:space="preserve">AI FDE Capstone — Feasibility Check of the 28 Guidelines</w:t>
      </w:r>
    </w:p>
    <w:p>
      <w:pPr>
        <w:pStyle w:val="FirstParagraph"/>
      </w:pPr>
      <w:r>
        <w:rPr>
          <w:bCs/>
          <w:b/>
        </w:rPr>
        <w:t xml:space="preserve">Prepared:</w:t>
      </w:r>
      <w:r>
        <w:t xml:space="preserve"> </w:t>
      </w:r>
      <w:r>
        <w:t xml:space="preserve">2026-10-25 ·</w:t>
      </w:r>
      <w:r>
        <w:t xml:space="preserve"> </w:t>
      </w:r>
      <w:r>
        <w:rPr>
          <w:bCs/>
          <w:b/>
        </w:rPr>
        <w:t xml:space="preserve">Repo assessed:</w:t>
      </w:r>
      <w:r>
        <w:t xml:space="preserve"> </w:t>
      </w:r>
      <w:r>
        <w:rPr>
          <w:rStyle w:val="VerbatimChar"/>
        </w:rPr>
        <w:t xml:space="preserve">gxp-quality-hub-legacy</w:t>
      </w:r>
      <w:r>
        <w:t xml:space="preserve"> </w:t>
      </w:r>
      <w:r>
        <w:t xml:space="preserve">(main</w:t>
      </w:r>
      <w:r>
        <w:t xml:space="preserve"> </w:t>
      </w:r>
      <w:r>
        <w:rPr>
          <w:rStyle w:val="VerbatimChar"/>
        </w:rPr>
        <w:t xml:space="preserve">a2b4828</w:t>
      </w:r>
      <w:r>
        <w:t xml:space="preserve">, Stage 43 merged) ·</w:t>
      </w:r>
      <w:r>
        <w:t xml:space="preserve"> </w:t>
      </w:r>
      <w:r>
        <w:rPr>
          <w:bCs/>
          <w:b/>
        </w:rPr>
        <w:t xml:space="preserve">Source of the guidelines:</w:t>
      </w:r>
      <w:r>
        <w:t xml:space="preserve"> </w:t>
      </w:r>
      <w:r>
        <w:rPr>
          <w:rStyle w:val="VerbatimChar"/>
        </w:rPr>
        <w:t xml:space="preserve">AI_FDE_Capstone_—Final_Presentation_Guidelines.pdf</w:t>
      </w:r>
    </w:p>
    <w:p>
      <w:pPr>
        <w:pStyle w:val="BodyText"/>
      </w:pPr>
      <w:r>
        <w:rPr>
          <w:bCs/>
          <w:b/>
        </w:rPr>
        <w:t xml:space="preserve">Scope you gave me:</w:t>
      </w:r>
      <w:r>
        <w:t xml:space="preserve"> </w:t>
      </w:r>
      <w:r>
        <w:t xml:space="preserve">go through each point, say whether the required artifact can be created, and treat the Stage 42 (Executive Defence) deliverable as already done.</w:t>
      </w:r>
      <w:r>
        <w:t xml:space="preserve"> </w:t>
      </w:r>
      <w:r>
        <w:t xml:space="preserve">This document only</w:t>
      </w:r>
      <w:r>
        <w:t xml:space="preserve"> </w:t>
      </w:r>
      <w:r>
        <w:rPr>
          <w:iCs/>
          <w:i/>
        </w:rPr>
        <w:t xml:space="preserve">checks</w:t>
      </w:r>
      <w:r>
        <w:t xml:space="preserve"> </w:t>
      </w:r>
      <w:r>
        <w:t xml:space="preserve">feasibility. It does not build the apps, deck or demo. The one thing built now is the</w:t>
      </w:r>
      <w:r>
        <w:t xml:space="preserve"> </w:t>
      </w:r>
      <w:r>
        <w:rPr>
          <w:bCs/>
          <w:b/>
        </w:rPr>
        <w:t xml:space="preserve">semantic layer</w:t>
      </w:r>
      <w:r>
        <w:t xml:space="preserve"> </w:t>
      </w:r>
      <w:r>
        <w:t xml:space="preserve">(see</w:t>
      </w:r>
      <w:r>
        <w:t xml:space="preserve"> </w:t>
      </w:r>
      <w:r>
        <w:rPr>
          <w:rStyle w:val="VerbatimChar"/>
        </w:rPr>
        <w:t xml:space="preserve">semantic-layer/</w:t>
      </w:r>
      <w:r>
        <w:t xml:space="preserve">).</w:t>
      </w:r>
    </w:p>
    <w:p>
      <w:r>
        <w:pict>
          <v:rect style="width:0;height:1.5pt" o:hralign="center" o:hrstd="t" o:hr="t"/>
        </w:pict>
      </w:r>
    </w:p>
    <w:bookmarkStart w:id="20" w:name="X4046dc02cf4dff53a7389b373bc7668238d8f6f"/>
    <w:p>
      <w:pPr>
        <w:pStyle w:val="Heading2"/>
      </w:pPr>
      <w:r>
        <w:t xml:space="preserve">1. Read this first — five findings that change the plan</w:t>
      </w:r>
    </w:p>
    <w:tbl>
      <w:tblPr>
        <w:tblStyle w:val="Table"/>
        <w:tblLayout w:type="fixed"/>
        <w:tblLook w:firstRow="1" w:lastRow="0" w:firstColumn="0" w:lastColumn="0" w:noHBand="0" w:noVBand="0" w:val="0020"/>
        <w:jc w:val="start"/>
        <w:tblBorders>
          <w:top w:val="single" w:sz="4" w:color="BFBFBF"/>
          <w:left w:val="single" w:sz="4" w:color="BFBFBF"/>
          <w:bottom w:val="single" w:sz="4" w:color="BFBFBF"/>
          <w:right w:val="single" w:sz="4" w:color="BFBFBF"/>
          <w:insideH w:val="single" w:sz="4" w:color="BFBFBF"/>
          <w:insideV w:val="single" w:sz="4" w:color="BFBFBF"/>
        </w:tblBorders>
        <w:tblW w:w="15023" w:type="dxa"/>
        <w:tblLayout w:type="fixed"/>
      </w:tblPr>
      <w:tblGrid>
        <w:gridCol w:w="1133"/>
        <w:gridCol w:w="5180"/>
        <w:gridCol w:w="5180"/>
        <w:gridCol w:w="3528"/>
      </w:tblGrid>
      <w:tr>
        <w:trPr>
          <w:tblHeader w:val="true"/>
          <w:tblHeader/>
          <w:cantSplit/>
        </w:trPr>
        <w:tc>
          <w:tcPr>
            <w:tcW w:type="dxa" w:w="1134"/>
            <w:shd w:val="clear" w:color="auto" w:fill="4A4A4A"/>
          </w:tcPr>
          <w:p>
            <w:pPr>
              <w:pStyle w:val="Compact"/>
              <w:spacing w:after="40"/>
              <w:jc w:val="left"/>
            </w:pPr>
            <w:r>
              <w:rPr>
                <w:rFonts w:ascii="Arial" w:hAnsi="Arial"/>
                <w:b/>
                <w:color w:val="FFFFFF"/>
                <w:sz w:val="17"/>
              </w:rPr>
              <w:t xml:space="preserve">#</w:t>
            </w:r>
          </w:p>
        </w:tc>
        <w:tc>
          <w:tcPr>
            <w:tcW w:type="dxa" w:w="5181"/>
            <w:shd w:val="clear" w:color="auto" w:fill="4A4A4A"/>
          </w:tcPr>
          <w:p>
            <w:pPr>
              <w:pStyle w:val="Compact"/>
              <w:spacing w:after="40"/>
              <w:jc w:val="left"/>
            </w:pPr>
            <w:r>
              <w:rPr>
                <w:rFonts w:ascii="Arial" w:hAnsi="Arial"/>
                <w:b/>
                <w:color w:val="FFFFFF"/>
                <w:sz w:val="17"/>
              </w:rPr>
              <w:t xml:space="preserve">Finding</w:t>
            </w:r>
          </w:p>
        </w:tc>
        <w:tc>
          <w:tcPr>
            <w:tcW w:type="dxa" w:w="5181"/>
            <w:shd w:val="clear" w:color="auto" w:fill="4A4A4A"/>
          </w:tcPr>
          <w:p>
            <w:pPr>
              <w:pStyle w:val="Compact"/>
              <w:spacing w:after="40"/>
              <w:jc w:val="left"/>
            </w:pPr>
            <w:r>
              <w:rPr>
                <w:rFonts w:ascii="Arial" w:hAnsi="Arial"/>
                <w:b/>
                <w:color w:val="FFFFFF"/>
                <w:sz w:val="17"/>
              </w:rPr>
              <w:t xml:space="preserve">Why it matters</w:t>
            </w:r>
          </w:p>
        </w:tc>
        <w:tc>
          <w:tcPr>
            <w:tcW w:type="dxa" w:w="3529"/>
            <w:shd w:val="clear" w:color="auto" w:fill="4A4A4A"/>
          </w:tcPr>
          <w:p>
            <w:pPr>
              <w:pStyle w:val="Compact"/>
              <w:spacing w:after="40"/>
              <w:jc w:val="left"/>
            </w:pPr>
            <w:r>
              <w:rPr>
                <w:rFonts w:ascii="Arial" w:hAnsi="Arial"/>
                <w:b/>
                <w:color w:val="FFFFFF"/>
                <w:sz w:val="17"/>
              </w:rPr>
              <w:t xml:space="preserve">Evidence</w:t>
            </w:r>
          </w:p>
        </w:tc>
      </w:tr>
      <w:tr>
        <w:trPr>
          <w:cantSplit/>
        </w:trPr>
        <w:tc>
          <w:tcPr>
            <w:tcW w:type="dxa" w:w="1134"/>
          </w:tcPr>
          <w:p>
            <w:pPr>
              <w:pStyle w:val="Compact"/>
              <w:spacing w:after="40"/>
              <w:jc w:val="left"/>
            </w:pPr>
            <w:r>
              <w:rPr>
                <w:rFonts w:ascii="Arial" w:hAnsi="Arial"/>
                <w:sz w:val="17"/>
              </w:rPr>
              <w:t xml:space="preserve">F-1</w:t>
            </w:r>
          </w:p>
        </w:tc>
        <w:tc>
          <w:tcPr>
            <w:tcW w:type="dxa" w:w="5181"/>
          </w:tcPr>
          <w:p>
            <w:pPr>
              <w:pStyle w:val="Compact"/>
              <w:spacing w:after="40"/>
              <w:jc w:val="left"/>
            </w:pPr>
            <w:r>
              <w:rPr>
                <w:bCs/>
                <w:rFonts w:ascii="Arial" w:hAnsi="Arial"/>
                <w:b/>
                <w:sz w:val="17"/>
              </w:rPr>
              <w:t xml:space="preserve">The product is formally No-AI.</w:t>
            </w:r>
            <w:r>
              <w:rPr>
                <w:rFonts w:ascii="Arial" w:hAnsi="Arial"/>
                <w:sz w:val="17"/>
              </w:rPr>
              <w:t xml:space="preserve"> </w:t>
            </w:r>
            <w:r>
              <w:rPr>
                <w:rFonts w:ascii="Arial" w:hAnsi="Arial"/>
                <w:sz w:val="17"/>
              </w:rPr>
              <w:t>You answered "Accept No-AI" (OD-08, 2026-10-18); FR-CO-04 / PNFR-18 forbid any LLM/ML call; Stages 19 (Intelligence) and 22 (Agentic) are NOT APPLICABLE. Update 26 Oct: Stage 44 (OD-40) re-qualifies T3 only: an optional, off-by-default advisory Azure OpenAI document Q&amp;A now exists in the hub.</w:t>
            </w:r>
          </w:p>
        </w:tc>
        <w:tc>
          <w:tcPr>
            <w:tcW w:type="dxa" w:w="5181"/>
          </w:tcPr>
          <w:p>
            <w:pPr>
              <w:pStyle w:val="Compact"/>
              <w:spacing w:after="40"/>
              <w:jc w:val="left"/>
            </w:pPr>
            <w:r>
              <w:rPr>
                <w:rFonts w:ascii="Arial" w:hAnsi="Arial"/>
                <w:sz w:val="17"/>
              </w:rPr>
              <w:t xml:space="preserve">Guidelines #6 (agentic AI), #7 (knowledge graphs), #17 (AI intelligence in demo), #24 (GenAI justification) cannot be met "as written" by the current build. They need either (a) an honest "GenAI deliberately not used, here is why" story, or (b) a new decision to re-qualify AI (triggers RQ-1..RQ-3).</w:t>
            </w:r>
            <w:r>
              <w:rPr>
                <w:rFonts w:ascii="Arial" w:hAnsi="Arial"/>
                <w:sz w:val="17"/>
              </w:rPr>
              <w:t xml:space="preserve"> </w:t>
            </w:r>
            <w:r>
              <w:rPr>
                <w:bCs/>
                <w:rFonts w:ascii="Arial" w:hAnsi="Arial"/>
                <w:b/>
                <w:sz w:val="17"/>
              </w:rPr>
              <w:t>Updated 25 Oct: you chose to add an advisory OpenAI assistant (autonomy A1) on top of the deterministic core; recorded as OD-41 in the semantic layer.</w:t>
            </w:r>
          </w:p>
        </w:tc>
        <w:tc>
          <w:tcPr>
            <w:tcW w:type="dxa" w:w="3529"/>
          </w:tcPr>
          <w:p>
            <w:pPr>
              <w:pStyle w:val="Compact"/>
              <w:spacing w:after="40"/>
              <w:jc w:val="left"/>
            </w:pPr>
            <w:r>
              <w:rPr>
                <w:rStyle w:val="VerbatimChar"/>
                <w:rFonts w:ascii="Arial" w:hAnsi="Arial"/>
                <w:sz w:val="17"/>
              </w:rPr>
              <w:t xml:space="preserve">.fde/orchestrator-decisions.md</w:t>
            </w:r>
            <w:r>
              <w:rPr>
                <w:rFonts w:ascii="Arial" w:hAnsi="Arial"/>
                <w:sz w:val="17"/>
              </w:rPr>
              <w:t xml:space="preserve"> </w:t>
            </w:r>
            <w:r>
              <w:rPr>
                <w:rFonts w:ascii="Arial" w:hAnsi="Arial"/>
                <w:sz w:val="17"/>
              </w:rPr>
              <w:t xml:space="preserve">OD-08;</w:t>
            </w:r>
            <w:r>
              <w:rPr>
                <w:rFonts w:ascii="Arial" w:hAnsi="Arial"/>
                <w:sz w:val="17"/>
              </w:rPr>
              <w:t xml:space="preserve"> </w:t>
            </w:r>
            <w:r>
              <w:rPr>
                <w:rStyle w:val="VerbatimChar"/>
                <w:rFonts w:ascii="Arial" w:hAnsi="Arial"/>
                <w:sz w:val="17"/>
              </w:rPr>
              <w:t xml:space="preserve">docs/08-ai-qualification/qualification-decision.md</w:t>
            </w:r>
            <w:r>
              <w:rPr>
                <w:rFonts w:ascii="Arial" w:hAnsi="Arial"/>
                <w:sz w:val="17"/>
              </w:rPr>
              <w:t xml:space="preserve"> </w:t>
            </w:r>
            <w:r>
              <w:rPr>
                <w:rFonts w:ascii="Arial" w:hAnsi="Arial"/>
                <w:sz w:val="17"/>
              </w:rPr>
              <w:t xml:space="preserve">QD-1, QD-3</w:t>
            </w:r>
          </w:p>
        </w:tc>
      </w:tr>
      <w:tr>
        <w:trPr>
          <w:cantSplit/>
        </w:trPr>
        <w:tc>
          <w:tcPr>
            <w:tcW w:type="dxa" w:w="1134"/>
          </w:tcPr>
          <w:p>
            <w:pPr>
              <w:pStyle w:val="Compact"/>
              <w:spacing w:after="40"/>
              <w:jc w:val="left"/>
            </w:pPr>
            <w:r>
              <w:rPr>
                <w:rFonts w:ascii="Arial" w:hAnsi="Arial"/>
                <w:sz w:val="17"/>
              </w:rPr>
              <w:t xml:space="preserve">F-2</w:t>
            </w:r>
          </w:p>
        </w:tc>
        <w:tc>
          <w:tcPr>
            <w:tcW w:type="dxa" w:w="5181"/>
          </w:tcPr>
          <w:p>
            <w:pPr>
              <w:pStyle w:val="Compact"/>
              <w:spacing w:after="40"/>
              <w:jc w:val="left"/>
            </w:pPr>
            <w:r>
              <w:rPr>
                <w:bCs/>
                <w:rFonts w:ascii="Arial" w:hAnsi="Arial"/>
                <w:b/>
                <w:sz w:val="17"/>
              </w:rPr>
              <w:t xml:space="preserve">"Two functional applications" is not yet satisfied.</w:t>
            </w:r>
            <w:r>
              <w:rPr>
                <w:rFonts w:ascii="Arial" w:hAnsi="Arial"/>
                <w:sz w:val="17"/>
              </w:rPr>
              <w:t xml:space="preserve"> </w:t>
            </w:r>
            <w:r>
              <w:rPr>
                <w:rFonts w:ascii="Arial" w:hAnsi="Arial"/>
                <w:sz w:val="17"/>
              </w:rPr>
              <w:t xml:space="preserve">One app exists: the shadow</w:t>
            </w:r>
            <w:r>
              <w:rPr>
                <w:rFonts w:ascii="Arial" w:hAnsi="Arial"/>
                <w:sz w:val="17"/>
              </w:rPr>
              <w:t xml:space="preserve"> </w:t>
            </w:r>
            <w:r>
              <w:rPr>
                <w:rStyle w:val="VerbatimChar"/>
                <w:rFonts w:ascii="Arial" w:hAnsi="Arial"/>
                <w:sz w:val="17"/>
              </w:rPr>
              <w:t xml:space="preserve">hub/</w:t>
            </w:r>
            <w:r>
              <w:rPr>
                <w:rFonts w:ascii="Arial" w:hAnsi="Arial"/>
                <w:sz w:val="17"/>
              </w:rPr>
              <w:t xml:space="preserve">. The second ("Context-Lake ported application") is the app regenerated</w:t>
            </w:r>
            <w:r>
              <w:rPr>
                <w:rFonts w:ascii="Arial" w:hAnsi="Arial"/>
                <w:sz w:val="17"/>
              </w:rPr>
              <w:t xml:space="preserve"> </w:t>
            </w:r>
            <w:r>
              <w:rPr>
                <w:iCs/>
                <w:rFonts w:ascii="Arial" w:hAnsi="Arial"/>
                <w:i/>
                <w:sz w:val="17"/>
              </w:rPr>
              <w:t xml:space="preserve">from the semantic layer with a different model</w:t>
            </w:r>
            <w:r>
              <w:rPr>
                <w:rFonts w:ascii="Arial" w:hAnsi="Arial"/>
                <w:sz w:val="17"/>
              </w:rPr>
              <w:t xml:space="preserve"> </w:t>
            </w:r>
            <w:r>
              <w:rPr>
                <w:rFonts w:ascii="Arial" w:hAnsi="Arial"/>
                <w:sz w:val="17"/>
              </w:rPr>
              <w:t xml:space="preserve">(challenge guide: Develop APP → Test semantic layer with new model → Compare both).</w:t>
            </w:r>
          </w:p>
        </w:tc>
        <w:tc>
          <w:tcPr>
            <w:tcW w:type="dxa" w:w="5181"/>
          </w:tcPr>
          <w:p>
            <w:pPr>
              <w:pStyle w:val="Compact"/>
              <w:spacing w:after="40"/>
              <w:jc w:val="left"/>
            </w:pPr>
            <w:r>
              <w:rPr>
                <w:rFonts w:ascii="Arial" w:hAnsi="Arial"/>
                <w:sz w:val="17"/>
              </w:rPr>
              <w:t xml:space="preserve">Needs to be built later. The semantic layer captured now is its input.</w:t>
            </w:r>
          </w:p>
        </w:tc>
        <w:tc>
          <w:tcPr>
            <w:tcW w:type="dxa" w:w="3529"/>
          </w:tcPr>
          <w:p>
            <w:pPr>
              <w:pStyle w:val="Compact"/>
              <w:spacing w:after="40"/>
              <w:jc w:val="left"/>
            </w:pPr>
            <w:r>
              <w:rPr>
                <w:rStyle w:val="VerbatimChar"/>
                <w:rFonts w:ascii="Arial" w:hAnsi="Arial"/>
                <w:sz w:val="17"/>
              </w:rPr>
              <w:t xml:space="preserve">semantic-layer-build.txt</w:t>
            </w:r>
            <w:r>
              <w:rPr>
                <w:rFonts w:ascii="Arial" w:hAnsi="Arial"/>
                <w:sz w:val="17"/>
              </w:rPr>
              <w:t xml:space="preserve">; challenge guide p.6</w:t>
            </w:r>
          </w:p>
        </w:tc>
      </w:tr>
      <w:tr>
        <w:trPr>
          <w:cantSplit/>
        </w:trPr>
        <w:tc>
          <w:tcPr>
            <w:tcW w:type="dxa" w:w="1134"/>
          </w:tcPr>
          <w:p>
            <w:pPr>
              <w:pStyle w:val="Compact"/>
              <w:spacing w:after="40"/>
              <w:jc w:val="left"/>
            </w:pPr>
            <w:r>
              <w:rPr>
                <w:rFonts w:ascii="Arial" w:hAnsi="Arial"/>
                <w:sz w:val="17"/>
              </w:rPr>
              <w:t xml:space="preserve">F-3</w:t>
            </w:r>
          </w:p>
        </w:tc>
        <w:tc>
          <w:tcPr>
            <w:tcW w:type="dxa" w:w="5181"/>
          </w:tcPr>
          <w:p>
            <w:pPr>
              <w:pStyle w:val="Compact"/>
              <w:spacing w:after="40"/>
              <w:jc w:val="left"/>
            </w:pPr>
            <w:r>
              <w:rPr>
                <w:bCs/>
                <w:rFonts w:ascii="Arial" w:hAnsi="Arial"/>
                <w:b/>
                <w:sz w:val="17"/>
              </w:rPr>
              <w:t xml:space="preserve">Release is BLOCKED and value is not computable.</w:t>
            </w:r>
            <w:r>
              <w:rPr>
                <w:rFonts w:ascii="Arial" w:hAnsi="Arial"/>
                <w:sz w:val="17"/>
              </w:rPr>
              <w:t xml:space="preserve"> </w:t>
            </w:r>
            <w:r>
              <w:rPr>
                <w:rFonts w:ascii="Arial" w:hAnsi="Arial"/>
                <w:sz w:val="17"/>
              </w:rPr>
              <w:t xml:space="preserve">0 of 40 approvals, evaluator says NO-GO, ROI/NPV/payback "NOT COMPUTABLE", no after-window.</w:t>
            </w:r>
          </w:p>
        </w:tc>
        <w:tc>
          <w:tcPr>
            <w:tcW w:type="dxa" w:w="5181"/>
          </w:tcPr>
          <w:p>
            <w:pPr>
              <w:pStyle w:val="Compact"/>
              <w:spacing w:after="40"/>
              <w:jc w:val="left"/>
            </w:pPr>
            <w:r>
              <w:rPr>
                <w:rFonts w:ascii="Arial" w:hAnsi="Arial"/>
                <w:sz w:val="17"/>
              </w:rPr>
              <w:t xml:space="preserve">Guidelines #14, #21, #23 ask for measured improvement. Only parity and mechanism-level evidence exists. I will not invent numbers; the deck must say so (the repo's own pitch rules forbid "saves X %", "production-ready", "AI-powered").</w:t>
            </w:r>
          </w:p>
        </w:tc>
        <w:tc>
          <w:tcPr>
            <w:tcW w:type="dxa" w:w="3529"/>
          </w:tcPr>
          <w:p>
            <w:pPr>
              <w:pStyle w:val="Compact"/>
              <w:spacing w:after="40"/>
              <w:jc w:val="left"/>
            </w:pPr>
            <w:r>
              <w:rPr>
                <w:rStyle w:val="VerbatimChar"/>
                <w:rFonts w:ascii="Arial" w:hAnsi="Arial"/>
                <w:sz w:val="17"/>
              </w:rPr>
              <w:t xml:space="preserve">docs/final-prd/final-as-built-prd.md</w:t>
            </w:r>
            <w:r>
              <w:rPr>
                <w:rFonts w:ascii="Arial" w:hAnsi="Arial"/>
                <w:sz w:val="17"/>
              </w:rPr>
              <w:t xml:space="preserve">;</w:t>
            </w:r>
            <w:r>
              <w:rPr>
                <w:rFonts w:ascii="Arial" w:hAnsi="Arial"/>
                <w:sz w:val="17"/>
              </w:rPr>
              <w:t xml:space="preserve"> </w:t>
            </w:r>
            <w:r>
              <w:rPr>
                <w:rStyle w:val="VerbatimChar"/>
                <w:rFonts w:ascii="Arial" w:hAnsi="Arial"/>
                <w:sz w:val="17"/>
              </w:rPr>
              <w:t xml:space="preserve">docs/42-executive-defence/elevator-pitch.md</w:t>
            </w:r>
            <w:r>
              <w:rPr>
                <w:rFonts w:ascii="Arial" w:hAnsi="Arial"/>
                <w:sz w:val="17"/>
              </w:rPr>
              <w:t xml:space="preserve"> </w:t>
            </w:r>
            <w:r>
              <w:rPr>
                <w:rFonts w:ascii="Arial" w:hAnsi="Arial"/>
                <w:sz w:val="17"/>
              </w:rPr>
              <w:t xml:space="preserve">EP-4</w:t>
            </w:r>
          </w:p>
        </w:tc>
      </w:tr>
      <w:tr>
        <w:trPr>
          <w:cantSplit/>
        </w:trPr>
        <w:tc>
          <w:tcPr>
            <w:tcW w:type="dxa" w:w="1134"/>
          </w:tcPr>
          <w:p>
            <w:pPr>
              <w:pStyle w:val="Compact"/>
              <w:spacing w:after="40"/>
              <w:jc w:val="left"/>
            </w:pPr>
            <w:r>
              <w:rPr>
                <w:rFonts w:ascii="Arial" w:hAnsi="Arial"/>
                <w:sz w:val="17"/>
              </w:rPr>
              <w:t xml:space="preserve">F-4</w:t>
            </w:r>
          </w:p>
        </w:tc>
        <w:tc>
          <w:tcPr>
            <w:tcW w:type="dxa" w:w="5181"/>
          </w:tcPr>
          <w:p>
            <w:pPr>
              <w:pStyle w:val="Compact"/>
              <w:spacing w:after="40"/>
              <w:jc w:val="left"/>
            </w:pPr>
            <w:r>
              <w:rPr>
                <w:bCs/>
                <w:rFonts w:ascii="Arial" w:hAnsi="Arial"/>
                <w:b/>
                <w:sz w:val="17"/>
              </w:rPr>
              <w:t xml:space="preserve">Birlasoft branding assets are not in the folder (updated 25 Oct: styled from the annual-report sample you provided).</w:t>
            </w:r>
            <w:r>
              <w:rPr>
                <w:rFonts w:ascii="Arial" w:hAnsi="Arial"/>
                <w:sz w:val="17"/>
              </w:rPr>
              <w:t xml:space="preserve"> </w:t>
            </w:r>
            <w:r>
              <w:rPr>
                <w:rFonts w:ascii="Arial" w:hAnsi="Arial"/>
                <w:sz w:val="17"/>
              </w:rPr>
              <w:t xml:space="preserve">No logo, corporate</w:t>
            </w:r>
            <w:r>
              <w:rPr>
                <w:rFonts w:ascii="Arial" w:hAnsi="Arial"/>
                <w:sz w:val="17"/>
              </w:rPr>
              <w:t xml:space="preserve"> </w:t>
            </w:r>
            <w:r>
              <w:rPr>
                <w:rStyle w:val="VerbatimChar"/>
                <w:rFonts w:ascii="Arial" w:hAnsi="Arial"/>
                <w:sz w:val="17"/>
              </w:rPr>
              <w:t xml:space="preserve">.potx</w:t>
            </w:r>
            <w:r>
              <w:rPr>
                <w:rFonts w:ascii="Arial" w:hAnsi="Arial"/>
                <w:sz w:val="17"/>
              </w:rPr>
              <w:t xml:space="preserve"> </w:t>
            </w:r>
            <w:r>
              <w:rPr>
                <w:rFonts w:ascii="Arial" w:hAnsi="Arial"/>
                <w:sz w:val="17"/>
              </w:rPr>
              <w:t xml:space="preserve">template or brand guideline found.</w:t>
            </w:r>
          </w:p>
        </w:tc>
        <w:tc>
          <w:tcPr>
            <w:tcW w:type="dxa" w:w="5181"/>
          </w:tcPr>
          <w:p>
            <w:pPr>
              <w:pStyle w:val="Compact"/>
              <w:spacing w:after="40"/>
              <w:jc w:val="left"/>
            </w:pPr>
            <w:r>
              <w:rPr>
                <w:rFonts w:ascii="Arial" w:hAnsi="Arial"/>
                <w:sz w:val="17"/>
              </w:rPr>
              <w:t xml:space="preserve">Guideline #15 (and the visual quality of #16/#25) is blocked until you provide approved assets.</w:t>
            </w:r>
          </w:p>
        </w:tc>
        <w:tc>
          <w:tcPr>
            <w:tcW w:type="dxa" w:w="3529"/>
          </w:tcPr>
          <w:p>
            <w:pPr>
              <w:pStyle w:val="Compact"/>
              <w:spacing w:after="40"/>
              <w:jc w:val="left"/>
            </w:pPr>
            <w:r>
              <w:rPr>
                <w:rFonts w:ascii="Arial" w:hAnsi="Arial"/>
                <w:sz w:val="17"/>
              </w:rPr>
              <w:t xml:space="preserve">folder listing</w:t>
            </w:r>
          </w:p>
        </w:tc>
      </w:tr>
      <w:tr>
        <w:trPr>
          <w:cantSplit/>
        </w:trPr>
        <w:tc>
          <w:tcPr>
            <w:tcW w:type="dxa" w:w="1134"/>
          </w:tcPr>
          <w:p>
            <w:pPr>
              <w:pStyle w:val="Compact"/>
              <w:spacing w:after="40"/>
              <w:jc w:val="left"/>
            </w:pPr>
            <w:r>
              <w:rPr>
                <w:rFonts w:ascii="Arial" w:hAnsi="Arial"/>
                <w:sz w:val="17"/>
              </w:rPr>
              <w:t xml:space="preserve">F-5</w:t>
            </w:r>
          </w:p>
        </w:tc>
        <w:tc>
          <w:tcPr>
            <w:tcW w:type="dxa" w:w="5181"/>
          </w:tcPr>
          <w:p>
            <w:pPr>
              <w:pStyle w:val="Compact"/>
              <w:spacing w:after="40"/>
              <w:jc w:val="left"/>
            </w:pPr>
            <w:r>
              <w:rPr>
                <w:bCs/>
                <w:rFonts w:ascii="Arial" w:hAnsi="Arial"/>
                <w:b/>
                <w:sz w:val="17"/>
              </w:rPr>
              <w:t xml:space="preserve">UI is thin</w:t>
            </w:r>
            <w:r>
              <w:rPr>
                <w:rFonts w:ascii="Arial" w:hAnsi="Arial"/>
                <w:sz w:val="17"/>
              </w:rPr>
              <w:t xml:space="preserve"> </w:t>
            </w:r>
            <w:r>
              <w:rPr>
                <w:rFonts w:ascii="Arial" w:hAnsi="Arial"/>
                <w:sz w:val="17"/>
              </w:rPr>
              <w:t xml:space="preserve">(updated 25 Oct: the Command Centre adds 9 views over the hub). 7 server-rendered screens/actions, loopback only, standard library only (no TLS).</w:t>
            </w:r>
          </w:p>
        </w:tc>
        <w:tc>
          <w:tcPr>
            <w:tcW w:type="dxa" w:w="5181"/>
          </w:tcPr>
          <w:p>
            <w:pPr>
              <w:pStyle w:val="Compact"/>
              <w:spacing w:after="40"/>
              <w:jc w:val="left"/>
            </w:pPr>
            <w:r>
              <w:rPr>
                <w:rFonts w:ascii="Arial" w:hAnsi="Arial"/>
                <w:sz w:val="17"/>
              </w:rPr>
              <w:t xml:space="preserve">Guideline #5 asks for dashboards, navigation, role-based experiences. Gap is real; closing it is new build work and may conflict with the stdlib-only/loopback ADRs.</w:t>
            </w:r>
          </w:p>
        </w:tc>
        <w:tc>
          <w:tcPr>
            <w:tcW w:type="dxa" w:w="3529"/>
          </w:tcPr>
          <w:p>
            <w:pPr>
              <w:pStyle w:val="Compact"/>
              <w:spacing w:after="40"/>
              <w:jc w:val="left"/>
            </w:pPr>
            <w:r>
              <w:rPr>
                <w:rStyle w:val="VerbatimChar"/>
                <w:rFonts w:ascii="Arial" w:hAnsi="Arial"/>
                <w:sz w:val="17"/>
              </w:rPr>
              <w:t xml:space="preserve">hub/web/ui_routes.json</w:t>
            </w:r>
            <w:r>
              <w:rPr>
                <w:rFonts w:ascii="Arial" w:hAnsi="Arial"/>
                <w:sz w:val="17"/>
              </w:rPr>
              <w:t xml:space="preserve">; ADR-014, ADR-015</w:t>
            </w:r>
          </w:p>
        </w:tc>
      </w:tr>
    </w:tbl>
    <w:p>
      <w:r>
        <w:pict>
          <v:rect style="width:0;height:1.5pt" o:hralign="center" o:hrstd="t" o:hr="t"/>
        </w:pict>
      </w:r>
    </w:p>
    <w:bookmarkEnd w:id="20"/>
    <w:bookmarkStart w:id="21" w:name="X01c5692f117597fbb0d72cbe3e5a24b40f052fc"/>
    <w:p>
      <w:pPr>
        <w:pStyle w:val="Heading2"/>
      </w:pPr>
      <w:r>
        <w:t xml:space="preserve">2. Legend</w:t>
      </w:r>
    </w:p>
    <w:tbl>
      <w:tblPr>
        <w:tblStyle w:val="Table"/>
        <w:tblLayout w:type="fixed"/>
        <w:tblLook w:firstRow="1" w:lastRow="0" w:firstColumn="0" w:lastColumn="0" w:noHBand="0" w:noVBand="0" w:val="0020"/>
        <w:jc w:val="start"/>
        <w:tblBorders>
          <w:top w:val="single" w:sz="4" w:color="BFBFBF"/>
          <w:left w:val="single" w:sz="4" w:color="BFBFBF"/>
          <w:bottom w:val="single" w:sz="4" w:color="BFBFBF"/>
          <w:right w:val="single" w:sz="4" w:color="BFBFBF"/>
          <w:insideH w:val="single" w:sz="4" w:color="BFBFBF"/>
          <w:insideV w:val="single" w:sz="4" w:color="BFBFBF"/>
        </w:tblBorders>
        <w:tblW w:w="15023" w:type="dxa"/>
        <w:tblLayout w:type="fixed"/>
      </w:tblPr>
      <w:tblGrid>
        <w:gridCol w:w="1671"/>
        <w:gridCol w:w="13352"/>
      </w:tblGrid>
      <w:tr>
        <w:trPr>
          <w:tblHeader w:val="true"/>
          <w:tblHeader/>
          <w:cantSplit/>
        </w:trPr>
        <w:tc>
          <w:tcPr>
            <w:tcW w:type="dxa" w:w="1672"/>
            <w:shd w:val="clear" w:color="auto" w:fill="4A4A4A"/>
          </w:tcPr>
          <w:p>
            <w:pPr>
              <w:pStyle w:val="Compact"/>
              <w:spacing w:after="40"/>
              <w:jc w:val="left"/>
            </w:pPr>
            <w:r>
              <w:rPr>
                <w:rFonts w:ascii="Arial" w:hAnsi="Arial"/>
                <w:b/>
                <w:color w:val="FFFFFF"/>
                <w:sz w:val="17"/>
              </w:rPr>
              <w:t xml:space="preserve">Verdict</w:t>
            </w:r>
          </w:p>
        </w:tc>
        <w:tc>
          <w:tcPr>
            <w:tcW w:type="dxa" w:w="13352"/>
            <w:shd w:val="clear" w:color="auto" w:fill="4A4A4A"/>
          </w:tcPr>
          <w:p>
            <w:pPr>
              <w:pStyle w:val="Compact"/>
              <w:spacing w:after="40"/>
              <w:jc w:val="left"/>
            </w:pPr>
            <w:r>
              <w:rPr>
                <w:rFonts w:ascii="Arial" w:hAnsi="Arial"/>
                <w:b/>
                <w:color w:val="FFFFFF"/>
                <w:sz w:val="17"/>
              </w:rPr>
              <w:t xml:space="preserve">Meaning</w:t>
            </w:r>
          </w:p>
        </w:tc>
      </w:tr>
      <w:tr>
        <w:trPr>
          <w:cantSplit/>
        </w:trPr>
        <w:tc>
          <w:tcPr>
            <w:tcW w:type="dxa" w:w="1672"/>
          </w:tcPr>
          <w:p>
            <w:pPr>
              <w:pStyle w:val="Compact"/>
              <w:spacing w:after="40"/>
              <w:jc w:val="left"/>
            </w:pPr>
            <w:r>
              <w:rPr>
                <w:bCs/>
                <w:rFonts w:ascii="Arial" w:hAnsi="Arial"/>
                <w:b/>
                <w:sz w:val="17"/>
              </w:rPr>
              <w:t xml:space="preserve">YES</w:t>
            </w:r>
          </w:p>
        </w:tc>
        <w:tc>
          <w:tcPr>
            <w:tcW w:type="dxa" w:w="13352"/>
          </w:tcPr>
          <w:p>
            <w:pPr>
              <w:pStyle w:val="Compact"/>
              <w:spacing w:after="40"/>
              <w:jc w:val="left"/>
            </w:pPr>
            <w:r>
              <w:rPr>
                <w:rFonts w:ascii="Arial" w:hAnsi="Arial"/>
                <w:sz w:val="17"/>
              </w:rPr>
              <w:t xml:space="preserve">Evidence exists in the repo; I can create the artifact now from it.</w:t>
            </w:r>
          </w:p>
        </w:tc>
      </w:tr>
      <w:tr>
        <w:trPr>
          <w:cantSplit/>
        </w:trPr>
        <w:tc>
          <w:tcPr>
            <w:tcW w:type="dxa" w:w="1672"/>
          </w:tcPr>
          <w:p>
            <w:pPr>
              <w:pStyle w:val="Compact"/>
              <w:spacing w:after="40"/>
              <w:jc w:val="left"/>
            </w:pPr>
            <w:r>
              <w:rPr>
                <w:bCs/>
                <w:rFonts w:ascii="Arial" w:hAnsi="Arial"/>
                <w:b/>
                <w:sz w:val="17"/>
              </w:rPr>
              <w:t xml:space="preserve">PARTIAL</w:t>
            </w:r>
          </w:p>
        </w:tc>
        <w:tc>
          <w:tcPr>
            <w:tcW w:type="dxa" w:w="13352"/>
          </w:tcPr>
          <w:p>
            <w:pPr>
              <w:pStyle w:val="Compact"/>
              <w:spacing w:after="40"/>
              <w:jc w:val="left"/>
            </w:pPr>
            <w:r>
              <w:rPr>
                <w:rFonts w:ascii="Arial" w:hAnsi="Arial"/>
                <w:sz w:val="17"/>
              </w:rPr>
              <w:t xml:space="preserve">I can create most of it, with a stated gap or an honest limitation.</w:t>
            </w:r>
          </w:p>
        </w:tc>
      </w:tr>
      <w:tr>
        <w:trPr>
          <w:cantSplit/>
        </w:trPr>
        <w:tc>
          <w:tcPr>
            <w:tcW w:type="dxa" w:w="1672"/>
          </w:tcPr>
          <w:p>
            <w:pPr>
              <w:pStyle w:val="Compact"/>
              <w:spacing w:after="40"/>
              <w:jc w:val="left"/>
            </w:pPr>
            <w:r>
              <w:rPr>
                <w:bCs/>
                <w:rFonts w:ascii="Arial" w:hAnsi="Arial"/>
                <w:b/>
                <w:sz w:val="17"/>
              </w:rPr>
              <w:t xml:space="preserve">BLOCKED</w:t>
            </w:r>
          </w:p>
        </w:tc>
        <w:tc>
          <w:tcPr>
            <w:tcW w:type="dxa" w:w="13352"/>
          </w:tcPr>
          <w:p>
            <w:pPr>
              <w:pStyle w:val="Compact"/>
              <w:spacing w:after="40"/>
              <w:jc w:val="left"/>
            </w:pPr>
            <w:r>
              <w:rPr>
                <w:rFonts w:ascii="Arial" w:hAnsi="Arial"/>
                <w:sz w:val="17"/>
              </w:rPr>
              <w:t xml:space="preserve">Needs something only you can provide (asset, decision), or conflicts with a recorded decision.</w:t>
            </w:r>
          </w:p>
        </w:tc>
      </w:tr>
      <w:tr>
        <w:trPr>
          <w:cantSplit/>
        </w:trPr>
        <w:tc>
          <w:tcPr>
            <w:tcW w:type="dxa" w:w="1672"/>
          </w:tcPr>
          <w:p>
            <w:pPr>
              <w:pStyle w:val="Compact"/>
              <w:spacing w:after="40"/>
              <w:jc w:val="left"/>
            </w:pPr>
            <w:r>
              <w:rPr>
                <w:bCs/>
                <w:rFonts w:ascii="Arial" w:hAnsi="Arial"/>
                <w:b/>
                <w:sz w:val="17"/>
              </w:rPr>
              <w:t xml:space="preserve">LATER</w:t>
            </w:r>
          </w:p>
        </w:tc>
        <w:tc>
          <w:tcPr>
            <w:tcW w:type="dxa" w:w="13352"/>
          </w:tcPr>
          <w:p>
            <w:pPr>
              <w:pStyle w:val="Compact"/>
              <w:spacing w:after="40"/>
              <w:jc w:val="left"/>
            </w:pPr>
            <w:r>
              <w:rPr>
                <w:rFonts w:ascii="Arial" w:hAnsi="Arial"/>
                <w:sz w:val="17"/>
              </w:rPr>
              <w:t xml:space="preserve">Needs a build step that has not been done (e.g. the second app).</w:t>
            </w:r>
          </w:p>
        </w:tc>
      </w:tr>
    </w:tbl>
    <w:p>
      <w:r>
        <w:pict>
          <v:rect style="width:0;height:1.5pt" o:hralign="center" o:hrstd="t" o:hr="t"/>
        </w:pict>
      </w:r>
    </w:p>
    <w:bookmarkEnd w:id="21"/>
    <w:bookmarkStart w:id="22" w:name="X0c789d8124c68dc9752a68d001d415f631a437b"/>
    <w:p>
      <w:pPr>
        <w:pStyle w:val="Heading2"/>
      </w:pPr>
      <w:r>
        <w:t xml:space="preserve">3. Section A — Capstone Engineering &amp; Transformation (#1–#18)</w:t>
      </w:r>
    </w:p>
    <w:tbl>
      <w:tblPr>
        <w:tblStyle w:val="Table"/>
        <w:tblLayout w:type="fixed"/>
        <w:tblLook w:firstRow="1" w:lastRow="0" w:firstColumn="0" w:lastColumn="0" w:noHBand="0" w:noVBand="0" w:val="0020"/>
        <w:jc w:val="start"/>
        <w:tblBorders>
          <w:top w:val="single" w:sz="4" w:color="BFBFBF"/>
          <w:left w:val="single" w:sz="4" w:color="BFBFBF"/>
          <w:bottom w:val="single" w:sz="4" w:color="BFBFBF"/>
          <w:right w:val="single" w:sz="4" w:color="BFBFBF"/>
          <w:insideH w:val="single" w:sz="4" w:color="BFBFBF"/>
          <w:insideV w:val="single" w:sz="4" w:color="BFBFBF"/>
        </w:tblBorders>
        <w:tblW w:w="15023" w:type="dxa"/>
        <w:tblLayout w:type="fixed"/>
      </w:tblPr>
      <w:tblGrid>
        <w:gridCol w:w="1133"/>
        <w:gridCol w:w="1133"/>
        <w:gridCol w:w="1133"/>
        <w:gridCol w:w="3185"/>
        <w:gridCol w:w="3185"/>
        <w:gridCol w:w="3185"/>
        <w:gridCol w:w="2064"/>
      </w:tblGrid>
      <w:tr>
        <w:trPr>
          <w:tblHeader w:val="true"/>
          <w:tblHeader/>
          <w:cantSplit/>
        </w:trPr>
        <w:tc>
          <w:tcPr>
            <w:tcW w:type="dxa" w:w="1134"/>
            <w:shd w:val="clear" w:color="auto" w:fill="4A4A4A"/>
          </w:tcPr>
          <w:p>
            <w:pPr>
              <w:pStyle w:val="Compact"/>
              <w:spacing w:after="40"/>
              <w:jc w:val="left"/>
            </w:pPr>
            <w:r>
              <w:rPr>
                <w:rFonts w:ascii="Arial" w:hAnsi="Arial"/>
                <w:b/>
                <w:color w:val="FFFFFF"/>
                <w:sz w:val="17"/>
              </w:rPr>
              <w:t xml:space="preserve">#</w:t>
            </w:r>
          </w:p>
        </w:tc>
        <w:tc>
          <w:tcPr>
            <w:tcW w:type="dxa" w:w="1134"/>
            <w:shd w:val="clear" w:color="auto" w:fill="4A4A4A"/>
          </w:tcPr>
          <w:p>
            <w:pPr>
              <w:pStyle w:val="Compact"/>
              <w:spacing w:after="40"/>
              <w:jc w:val="left"/>
            </w:pPr>
            <w:r>
              <w:rPr>
                <w:rFonts w:ascii="Arial" w:hAnsi="Arial"/>
                <w:b/>
                <w:color w:val="FFFFFF"/>
                <w:sz w:val="17"/>
              </w:rPr>
              <w:t xml:space="preserve">Guideline</w:t>
            </w:r>
          </w:p>
        </w:tc>
        <w:tc>
          <w:tcPr>
            <w:tcW w:type="dxa" w:w="1134"/>
            <w:shd w:val="clear" w:color="auto" w:fill="4A4A4A"/>
          </w:tcPr>
          <w:p>
            <w:pPr>
              <w:pStyle w:val="Compact"/>
              <w:spacing w:after="40"/>
              <w:jc w:val="left"/>
            </w:pPr>
            <w:r>
              <w:rPr>
                <w:rFonts w:ascii="Arial" w:hAnsi="Arial"/>
                <w:b/>
                <w:color w:val="FFFFFF"/>
                <w:sz w:val="17"/>
              </w:rPr>
              <w:t xml:space="preserve">Verdict</w:t>
            </w:r>
          </w:p>
        </w:tc>
        <w:tc>
          <w:tcPr>
            <w:tcW w:type="dxa" w:w="3186"/>
            <w:shd w:val="clear" w:color="auto" w:fill="4A4A4A"/>
          </w:tcPr>
          <w:p>
            <w:pPr>
              <w:pStyle w:val="Compact"/>
              <w:spacing w:after="40"/>
              <w:jc w:val="left"/>
            </w:pPr>
            <w:r>
              <w:rPr>
                <w:rFonts w:ascii="Arial" w:hAnsi="Arial"/>
                <w:b/>
                <w:color w:val="FFFFFF"/>
                <w:sz w:val="17"/>
              </w:rPr>
              <w:t xml:space="preserve">What I can create</w:t>
            </w:r>
          </w:p>
        </w:tc>
        <w:tc>
          <w:tcPr>
            <w:tcW w:type="dxa" w:w="3186"/>
            <w:shd w:val="clear" w:color="auto" w:fill="4A4A4A"/>
          </w:tcPr>
          <w:p>
            <w:pPr>
              <w:pStyle w:val="Compact"/>
              <w:spacing w:after="40"/>
              <w:jc w:val="left"/>
            </w:pPr>
            <w:r>
              <w:rPr>
                <w:rFonts w:ascii="Arial" w:hAnsi="Arial"/>
                <w:b/>
                <w:color w:val="FFFFFF"/>
                <w:sz w:val="17"/>
              </w:rPr>
              <w:t xml:space="preserve">What the repo already gives me</w:t>
            </w:r>
          </w:p>
        </w:tc>
        <w:tc>
          <w:tcPr>
            <w:tcW w:type="dxa" w:w="3186"/>
            <w:shd w:val="clear" w:color="auto" w:fill="4A4A4A"/>
          </w:tcPr>
          <w:p>
            <w:pPr>
              <w:pStyle w:val="Compact"/>
              <w:spacing w:after="40"/>
              <w:jc w:val="left"/>
            </w:pPr>
            <w:r>
              <w:rPr>
                <w:rFonts w:ascii="Arial" w:hAnsi="Arial"/>
                <w:b/>
                <w:color w:val="FFFFFF"/>
                <w:sz w:val="17"/>
              </w:rPr>
              <w:t xml:space="preserve">Gap / limitation</w:t>
            </w:r>
          </w:p>
        </w:tc>
        <w:tc>
          <w:tcPr>
            <w:tcW w:type="dxa" w:w="2064"/>
            <w:shd w:val="clear" w:color="auto" w:fill="4A4A4A"/>
          </w:tcPr>
          <w:p>
            <w:pPr>
              <w:pStyle w:val="Compact"/>
              <w:spacing w:after="40"/>
              <w:jc w:val="left"/>
            </w:pPr>
            <w:r>
              <w:rPr>
                <w:rFonts w:ascii="Arial" w:hAnsi="Arial"/>
                <w:b/>
                <w:color w:val="FFFFFF"/>
                <w:sz w:val="17"/>
              </w:rPr>
              <w:t xml:space="preserve">Needs from you</w:t>
            </w:r>
          </w:p>
        </w:tc>
      </w:tr>
      <w:tr>
        <w:trPr>
          <w:cantSplit/>
        </w:trPr>
        <w:tc>
          <w:tcPr>
            <w:tcW w:type="dxa" w:w="1134"/>
          </w:tcPr>
          <w:p>
            <w:pPr>
              <w:pStyle w:val="Compact"/>
              <w:spacing w:after="40"/>
              <w:jc w:val="left"/>
            </w:pPr>
            <w:r>
              <w:rPr>
                <w:rFonts w:ascii="Arial" w:hAnsi="Arial"/>
                <w:sz w:val="17"/>
              </w:rPr>
              <w:t xml:space="preserve">1</w:t>
            </w:r>
          </w:p>
        </w:tc>
        <w:tc>
          <w:tcPr>
            <w:tcW w:type="dxa" w:w="1134"/>
          </w:tcPr>
          <w:p>
            <w:pPr>
              <w:pStyle w:val="Compact"/>
              <w:spacing w:after="40"/>
              <w:jc w:val="left"/>
            </w:pPr>
            <w:r>
              <w:rPr>
                <w:rFonts w:ascii="Arial" w:hAnsi="Arial"/>
                <w:sz w:val="17"/>
              </w:rPr>
              <w:t xml:space="preserve">42-Stage AI FDE Spine</w:t>
            </w:r>
          </w:p>
        </w:tc>
        <w:tc>
          <w:tcPr>
            <w:tcW w:type="dxa" w:w="1134"/>
          </w:tcPr>
          <w:p>
            <w:pPr>
              <w:pStyle w:val="Compact"/>
              <w:spacing w:after="40"/>
              <w:jc w:val="left"/>
            </w:pPr>
            <w:r>
              <w:rPr>
                <w:bCs/>
                <w:rFonts w:ascii="Arial" w:hAnsi="Arial"/>
                <w:b/>
                <w:sz w:val="17"/>
              </w:rPr>
              <w:t xml:space="preserve">YES</w:t>
            </w:r>
          </w:p>
        </w:tc>
        <w:tc>
          <w:tcPr>
            <w:tcW w:type="dxa" w:w="3186"/>
          </w:tcPr>
          <w:p>
            <w:pPr>
              <w:pStyle w:val="Compact"/>
              <w:spacing w:after="40"/>
              <w:jc w:val="left"/>
            </w:pPr>
            <w:r>
              <w:rPr>
                <w:iCs/>
                <w:rFonts w:ascii="Arial" w:hAnsi="Arial"/>
                <w:i/>
                <w:sz w:val="17"/>
              </w:rPr>
              <w:t xml:space="preserve">Spine coverage &amp; adaptation log</w:t>
            </w:r>
            <w:r>
              <w:rPr>
                <w:rFonts w:ascii="Arial" w:hAnsi="Arial"/>
                <w:sz w:val="17"/>
              </w:rPr>
              <w:t xml:space="preserve">: one row per stage (00A–43) with status, depth, what was adapted</w:t>
            </w:r>
          </w:p>
        </w:tc>
        <w:tc>
          <w:tcPr>
            <w:tcW w:type="dxa" w:w="3186"/>
          </w:tcPr>
          <w:p>
            <w:pPr>
              <w:pStyle w:val="Compact"/>
              <w:spacing w:after="40"/>
              <w:jc w:val="left"/>
            </w:pPr>
            <w:r>
              <w:rPr>
                <w:rFonts w:ascii="Arial" w:hAnsi="Arial"/>
                <w:sz w:val="17"/>
              </w:rPr>
              <w:t xml:space="preserve">46 stage prompts executed 0A→43; statuses in git log + OD-01..OD-39. N/A: 19, 22. BLOCKED: 30, 38, 41, 43. Most others CONDITIONAL PASS</w:t>
            </w:r>
          </w:p>
        </w:tc>
        <w:tc>
          <w:tcPr>
            <w:tcW w:type="dxa" w:w="3186"/>
          </w:tcPr>
          <w:p>
            <w:pPr>
              <w:pStyle w:val="Compact"/>
              <w:spacing w:after="40"/>
              <w:jc w:val="left"/>
            </w:pPr>
            <w:r>
              <w:rPr>
                <w:rFonts w:ascii="Arial" w:hAnsi="Arial"/>
                <w:sz w:val="17"/>
              </w:rPr>
              <w:t xml:space="preserve">Statuses are the agent's own; no external review</w:t>
            </w:r>
          </w:p>
        </w:tc>
        <w:tc>
          <w:tcPr>
            <w:tcW w:type="dxa" w:w="2064"/>
          </w:tcPr>
          <w:p>
            <w:pPr>
              <w:pStyle w:val="Compact"/>
              <w:spacing w:after="40"/>
              <w:jc w:val="left"/>
            </w:pPr>
            <w:r>
              <w:rPr>
                <w:rFonts w:ascii="Arial" w:hAnsi="Arial"/>
                <w:sz w:val="17"/>
              </w:rPr>
              <w:t xml:space="preserve">none</w:t>
            </w:r>
          </w:p>
        </w:tc>
      </w:tr>
      <w:tr>
        <w:trPr>
          <w:cantSplit/>
        </w:trPr>
        <w:tc>
          <w:tcPr>
            <w:tcW w:type="dxa" w:w="1134"/>
          </w:tcPr>
          <w:p>
            <w:pPr>
              <w:pStyle w:val="Compact"/>
              <w:spacing w:after="40"/>
              <w:jc w:val="left"/>
            </w:pPr>
            <w:r>
              <w:rPr>
                <w:rFonts w:ascii="Arial" w:hAnsi="Arial"/>
                <w:sz w:val="17"/>
              </w:rPr>
              <w:t xml:space="preserve">2</w:t>
            </w:r>
          </w:p>
        </w:tc>
        <w:tc>
          <w:tcPr>
            <w:tcW w:type="dxa" w:w="1134"/>
          </w:tcPr>
          <w:p>
            <w:pPr>
              <w:pStyle w:val="Compact"/>
              <w:spacing w:after="40"/>
              <w:jc w:val="left"/>
            </w:pPr>
            <w:r>
              <w:rPr>
                <w:rFonts w:ascii="Arial" w:hAnsi="Arial"/>
                <w:sz w:val="17"/>
              </w:rPr>
              <w:t xml:space="preserve">Prompt Adaptability</w:t>
            </w:r>
          </w:p>
        </w:tc>
        <w:tc>
          <w:tcPr>
            <w:tcW w:type="dxa" w:w="1134"/>
          </w:tcPr>
          <w:p>
            <w:pPr>
              <w:pStyle w:val="Compact"/>
              <w:spacing w:after="40"/>
              <w:jc w:val="left"/>
            </w:pPr>
            <w:r>
              <w:rPr>
                <w:bCs/>
                <w:rFonts w:ascii="Arial" w:hAnsi="Arial"/>
                <w:b/>
                <w:sz w:val="17"/>
              </w:rPr>
              <w:t xml:space="preserve">YES</w:t>
            </w:r>
          </w:p>
        </w:tc>
        <w:tc>
          <w:tcPr>
            <w:tcW w:type="dxa" w:w="3186"/>
          </w:tcPr>
          <w:p>
            <w:pPr>
              <w:pStyle w:val="Compact"/>
              <w:spacing w:after="40"/>
              <w:jc w:val="left"/>
            </w:pPr>
            <w:r>
              <w:rPr>
                <w:iCs/>
                <w:rFonts w:ascii="Arial" w:hAnsi="Arial"/>
                <w:i/>
                <w:sz w:val="17"/>
              </w:rPr>
              <w:t xml:space="preserve">Prompt adaptation register</w:t>
            </w:r>
            <w:r>
              <w:rPr>
                <w:rFonts w:ascii="Arial" w:hAnsi="Arial"/>
                <w:sz w:val="17"/>
              </w:rPr>
              <w:t xml:space="preserve">: what was added, combined, skipped or changed and why</w:t>
            </w:r>
          </w:p>
        </w:tc>
        <w:tc>
          <w:tcPr>
            <w:tcW w:type="dxa" w:w="3186"/>
          </w:tcPr>
          <w:p>
            <w:pPr>
              <w:pStyle w:val="Compact"/>
              <w:spacing w:after="40"/>
              <w:jc w:val="left"/>
            </w:pPr>
            <w:r>
              <w:rPr>
                <w:rFonts w:ascii="Arial" w:hAnsi="Arial"/>
                <w:sz w:val="17"/>
              </w:rPr>
              <w:t xml:space="preserve">Added pre-flight 0A/0B/0C; Stage 19/22 skipped by decision; path deviations (S28-DEV-05</w:t>
            </w:r>
            <w:r>
              <w:rPr>
                <w:rFonts w:ascii="Arial" w:hAnsi="Arial"/>
                <w:sz w:val="17"/>
              </w:rPr>
              <w:t xml:space="preserve"> </w:t>
            </w:r>
            <w:r>
              <w:rPr>
                <w:rStyle w:val="VerbatimChar"/>
                <w:rFonts w:ascii="Arial" w:hAnsi="Arial"/>
                <w:sz w:val="17"/>
              </w:rPr>
              <w:t xml:space="preserve">28-reliability</w:t>
            </w:r>
            <w:r>
              <w:rPr>
                <w:rFonts w:ascii="Arial" w:hAnsi="Arial"/>
                <w:sz w:val="17"/>
              </w:rPr>
              <w:t xml:space="preserve"> </w:t>
            </w:r>
            <w:r>
              <w:rPr>
                <w:rFonts w:ascii="Arial" w:hAnsi="Arial"/>
                <w:sz w:val="17"/>
              </w:rPr>
              <w:t xml:space="preserve">vs</w:t>
            </w:r>
            <w:r>
              <w:rPr>
                <w:rFonts w:ascii="Arial" w:hAnsi="Arial"/>
                <w:sz w:val="17"/>
              </w:rPr>
              <w:t xml:space="preserve"> </w:t>
            </w:r>
            <w:r>
              <w:rPr>
                <w:rStyle w:val="VerbatimChar"/>
                <w:rFonts w:ascii="Arial" w:hAnsi="Arial"/>
                <w:sz w:val="17"/>
              </w:rPr>
              <w:t xml:space="preserve">28-resilience</w:t>
            </w:r>
            <w:r>
              <w:rPr>
                <w:rFonts w:ascii="Arial" w:hAnsi="Arial"/>
                <w:sz w:val="17"/>
              </w:rPr>
              <w:t xml:space="preserve">, S43-DEV-01</w:t>
            </w:r>
            <w:r>
              <w:rPr>
                <w:rFonts w:ascii="Arial" w:hAnsi="Arial"/>
                <w:sz w:val="17"/>
              </w:rPr>
              <w:t xml:space="preserve"> </w:t>
            </w:r>
            <w:r>
              <w:rPr>
                <w:rStyle w:val="VerbatimChar"/>
                <w:rFonts w:ascii="Arial" w:hAnsi="Arial"/>
                <w:sz w:val="17"/>
              </w:rPr>
              <w:t xml:space="preserve">final-prd</w:t>
            </w:r>
            <w:r>
              <w:rPr>
                <w:rFonts w:ascii="Arial" w:hAnsi="Arial"/>
                <w:sz w:val="17"/>
              </w:rPr>
              <w:t xml:space="preserve">); "test once" and parallel doc stages (OD-23). The two prompt copies (</w:t>
            </w:r>
            <w:r>
              <w:rPr>
                <w:rStyle w:val="VerbatimChar"/>
                <w:rFonts w:ascii="Arial" w:hAnsi="Arial"/>
                <w:sz w:val="17"/>
              </w:rPr>
              <w:t xml:space="preserve">FDE_Stage_System_Prompts</w:t>
            </w:r>
            <w:r>
              <w:rPr>
                <w:rFonts w:ascii="Arial" w:hAnsi="Arial"/>
                <w:sz w:val="17"/>
              </w:rPr>
              <w:t xml:space="preserve"> </w:t>
            </w:r>
            <w:r>
              <w:rPr>
                <w:rFonts w:ascii="Arial" w:hAnsi="Arial"/>
                <w:sz w:val="17"/>
              </w:rPr>
              <w:t xml:space="preserve">and</w:t>
            </w:r>
            <w:r>
              <w:rPr>
                <w:rFonts w:ascii="Arial" w:hAnsi="Arial"/>
                <w:sz w:val="17"/>
              </w:rPr>
              <w:t xml:space="preserve"> </w:t>
            </w:r>
            <w:r>
              <w:rPr>
                <w:rStyle w:val="VerbatimChar"/>
                <w:rFonts w:ascii="Arial" w:hAnsi="Arial"/>
                <w:sz w:val="17"/>
              </w:rPr>
              <w:t xml:space="preserve">.fde/stage-prompts</w:t>
            </w:r>
            <w:r>
              <w:rPr>
                <w:rFonts w:ascii="Arial" w:hAnsi="Arial"/>
                <w:sz w:val="17"/>
              </w:rPr>
              <w:t xml:space="preserve">) are byte-identical, so no prompt</w:t>
            </w:r>
            <w:r>
              <w:rPr>
                <w:rFonts w:ascii="Arial" w:hAnsi="Arial"/>
                <w:sz w:val="17"/>
              </w:rPr>
              <w:t xml:space="preserve"> </w:t>
            </w:r>
            <w:r>
              <w:rPr>
                <w:iCs/>
                <w:rFonts w:ascii="Arial" w:hAnsi="Arial"/>
                <w:i/>
                <w:sz w:val="17"/>
              </w:rPr>
              <w:t xml:space="preserve">text</w:t>
            </w:r>
            <w:r>
              <w:rPr>
                <w:rFonts w:ascii="Arial" w:hAnsi="Arial"/>
                <w:sz w:val="17"/>
              </w:rPr>
              <w:t xml:space="preserve"> </w:t>
            </w:r>
            <w:r>
              <w:rPr>
                <w:rFonts w:ascii="Arial" w:hAnsi="Arial"/>
                <w:sz w:val="17"/>
              </w:rPr>
              <w:t xml:space="preserve">was edited</w:t>
            </w:r>
          </w:p>
        </w:tc>
        <w:tc>
          <w:tcPr>
            <w:tcW w:type="dxa" w:w="3186"/>
          </w:tcPr>
          <w:p>
            <w:pPr>
              <w:pStyle w:val="Compact"/>
              <w:spacing w:after="40"/>
              <w:jc w:val="left"/>
            </w:pPr>
            <w:r>
              <w:rPr>
                <w:rFonts w:ascii="Arial" w:hAnsi="Arial"/>
                <w:sz w:val="17"/>
              </w:rPr>
              <w:t xml:space="preserve">Adaptations were made in execution, not by editing prompts (LL-16 says fix paths at source)</w:t>
            </w:r>
          </w:p>
        </w:tc>
        <w:tc>
          <w:tcPr>
            <w:tcW w:type="dxa" w:w="2064"/>
          </w:tcPr>
          <w:p>
            <w:pPr>
              <w:pStyle w:val="Compact"/>
              <w:spacing w:after="40"/>
              <w:jc w:val="left"/>
            </w:pPr>
            <w:r>
              <w:rPr>
                <w:rFonts w:ascii="Arial" w:hAnsi="Arial"/>
                <w:sz w:val="17"/>
              </w:rPr>
              <w:t xml:space="preserve">Confirm if you edited any prompt elsewhere</w:t>
            </w:r>
          </w:p>
        </w:tc>
      </w:tr>
      <w:tr>
        <w:trPr>
          <w:cantSplit/>
        </w:trPr>
        <w:tc>
          <w:tcPr>
            <w:tcW w:type="dxa" w:w="1134"/>
          </w:tcPr>
          <w:p>
            <w:pPr>
              <w:pStyle w:val="Compact"/>
              <w:spacing w:after="40"/>
              <w:jc w:val="left"/>
            </w:pPr>
            <w:r>
              <w:rPr>
                <w:rFonts w:ascii="Arial" w:hAnsi="Arial"/>
                <w:sz w:val="17"/>
              </w:rPr>
              <w:t xml:space="preserve">3</w:t>
            </w:r>
          </w:p>
        </w:tc>
        <w:tc>
          <w:tcPr>
            <w:tcW w:type="dxa" w:w="1134"/>
          </w:tcPr>
          <w:p>
            <w:pPr>
              <w:pStyle w:val="Compact"/>
              <w:spacing w:after="40"/>
              <w:jc w:val="left"/>
            </w:pPr>
            <w:r>
              <w:rPr>
                <w:rFonts w:ascii="Arial" w:hAnsi="Arial"/>
                <w:sz w:val="17"/>
              </w:rPr>
              <w:t xml:space="preserve">Enterprise Context Lake</w:t>
            </w:r>
          </w:p>
        </w:tc>
        <w:tc>
          <w:tcPr>
            <w:tcW w:type="dxa" w:w="1134"/>
          </w:tcPr>
          <w:p>
            <w:pPr>
              <w:pStyle w:val="Compact"/>
              <w:spacing w:after="40"/>
              <w:jc w:val="left"/>
            </w:pPr>
            <w:r>
              <w:rPr>
                <w:bCs/>
                <w:rFonts w:ascii="Arial" w:hAnsi="Arial"/>
                <w:b/>
                <w:sz w:val="17"/>
              </w:rPr>
              <w:t xml:space="preserve">PARTIAL</w:t>
            </w:r>
          </w:p>
        </w:tc>
        <w:tc>
          <w:tcPr>
            <w:tcW w:type="dxa" w:w="3186"/>
          </w:tcPr>
          <w:p>
            <w:pPr>
              <w:pStyle w:val="Compact"/>
              <w:spacing w:after="40"/>
              <w:jc w:val="left"/>
            </w:pPr>
            <w:r>
              <w:rPr>
                <w:iCs/>
                <w:rFonts w:ascii="Arial" w:hAnsi="Arial"/>
                <w:i/>
                <w:sz w:val="17"/>
              </w:rPr>
              <w:t xml:space="preserve">Context-Lake manifest</w:t>
            </w:r>
            <w:r>
              <w:rPr>
                <w:rFonts w:ascii="Arial" w:hAnsi="Arial"/>
                <w:sz w:val="17"/>
              </w:rPr>
              <w:t xml:space="preserve">: versioned index of every context asset (978 doc files, ADR-001..018, OD log, specs, schemas, evidence logs, semantic layer) with type, stage, hash and evidence tier [Verified Fact/Inference/Assumption/Unknown]</w:t>
            </w:r>
          </w:p>
        </w:tc>
        <w:tc>
          <w:tcPr>
            <w:tcW w:type="dxa" w:w="3186"/>
          </w:tcPr>
          <w:p>
            <w:pPr>
              <w:pStyle w:val="Compact"/>
              <w:spacing w:after="40"/>
              <w:jc w:val="left"/>
            </w:pPr>
            <w:r>
              <w:rPr>
                <w:rFonts w:ascii="Arial" w:hAnsi="Arial"/>
                <w:sz w:val="17"/>
              </w:rPr>
              <w:t xml:space="preserve">Evidence-tagged docs, SHA256SUMS files, traceability matrix (docs/13), package graph, semantic layer (new)</w:t>
            </w:r>
          </w:p>
        </w:tc>
        <w:tc>
          <w:tcPr>
            <w:tcW w:type="dxa" w:w="3186"/>
          </w:tcPr>
          <w:p>
            <w:pPr>
              <w:pStyle w:val="Compact"/>
              <w:spacing w:after="40"/>
              <w:jc w:val="left"/>
            </w:pPr>
            <w:r>
              <w:rPr>
                <w:rFonts w:ascii="Arial" w:hAnsi="Arial"/>
                <w:sz w:val="17"/>
              </w:rPr>
              <w:t xml:space="preserve">No queryable store; "code intelligence" is a text package graph, not an index.</w:t>
            </w:r>
            <w:r>
              <w:rPr>
                <w:rFonts w:ascii="Arial" w:hAnsi="Arial"/>
                <w:sz w:val="17"/>
              </w:rPr>
              <w:t xml:space="preserve"> </w:t>
            </w:r>
            <w:r>
              <w:rPr>
                <w:bCs/>
                <w:rFonts w:ascii="Arial" w:hAnsi="Arial"/>
                <w:b/>
                <w:sz w:val="17"/>
              </w:rPr>
              <w:t xml:space="preserve">Naming clash:</w:t>
            </w:r>
            <w:r>
              <w:rPr>
                <w:rFonts w:ascii="Arial" w:hAnsi="Arial"/>
                <w:sz w:val="17"/>
              </w:rPr>
              <w:t xml:space="preserve"> </w:t>
            </w:r>
            <w:r>
              <w:rPr>
                <w:rStyle w:val="VerbatimChar"/>
                <w:rFonts w:ascii="Arial" w:hAnsi="Arial"/>
                <w:sz w:val="17"/>
              </w:rPr>
              <w:t xml:space="preserve">data/lake/</w:t>
            </w:r>
            <w:r>
              <w:rPr>
                <w:rFonts w:ascii="Arial" w:hAnsi="Arial"/>
                <w:sz w:val="17"/>
              </w:rPr>
              <w:t xml:space="preserve"> </w:t>
            </w:r>
            <w:r>
              <w:rPr>
                <w:rFonts w:ascii="Arial" w:hAnsi="Arial"/>
                <w:sz w:val="17"/>
              </w:rPr>
              <w:t xml:space="preserve">in the repo is synthetic event data,</w:t>
            </w:r>
            <w:r>
              <w:rPr>
                <w:rFonts w:ascii="Arial" w:hAnsi="Arial"/>
                <w:sz w:val="17"/>
              </w:rPr>
              <w:t xml:space="preserve"> </w:t>
            </w:r>
            <w:r>
              <w:rPr>
                <w:iCs/>
                <w:rFonts w:ascii="Arial" w:hAnsi="Arial"/>
                <w:i/>
                <w:sz w:val="17"/>
              </w:rPr>
              <w:t xml:space="preserve">not</w:t>
            </w:r>
            <w:r>
              <w:rPr>
                <w:rFonts w:ascii="Arial" w:hAnsi="Arial"/>
                <w:sz w:val="17"/>
              </w:rPr>
              <w:t xml:space="preserve"> </w:t>
            </w:r>
            <w:r>
              <w:rPr>
                <w:rFonts w:ascii="Arial" w:hAnsi="Arial"/>
                <w:sz w:val="17"/>
              </w:rPr>
              <w:t xml:space="preserve">the Context Lake</w:t>
            </w:r>
          </w:p>
        </w:tc>
        <w:tc>
          <w:tcPr>
            <w:tcW w:type="dxa" w:w="2064"/>
          </w:tcPr>
          <w:p>
            <w:pPr>
              <w:pStyle w:val="Compact"/>
              <w:spacing w:after="40"/>
              <w:jc w:val="left"/>
            </w:pPr>
            <w:r>
              <w:rPr>
                <w:rFonts w:ascii="Arial" w:hAnsi="Arial"/>
                <w:sz w:val="17"/>
              </w:rPr>
              <w:t xml:space="preserve">Confirm the Context Lake may be a file-based manifest + semantic layer rather than a database</w:t>
            </w:r>
          </w:p>
        </w:tc>
      </w:tr>
      <w:tr>
        <w:trPr>
          <w:cantSplit/>
        </w:trPr>
        <w:tc>
          <w:tcPr>
            <w:tcW w:type="dxa" w:w="1134"/>
          </w:tcPr>
          <w:p>
            <w:pPr>
              <w:pStyle w:val="Compact"/>
              <w:spacing w:after="40"/>
              <w:jc w:val="left"/>
            </w:pPr>
            <w:r>
              <w:rPr>
                <w:rFonts w:ascii="Arial" w:hAnsi="Arial"/>
                <w:sz w:val="17"/>
              </w:rPr>
              <w:t xml:space="preserve">4</w:t>
            </w:r>
          </w:p>
        </w:tc>
        <w:tc>
          <w:tcPr>
            <w:tcW w:type="dxa" w:w="1134"/>
          </w:tcPr>
          <w:p>
            <w:pPr>
              <w:pStyle w:val="Compact"/>
              <w:spacing w:after="40"/>
              <w:jc w:val="left"/>
            </w:pPr>
            <w:r>
              <w:rPr>
                <w:rFonts w:ascii="Arial" w:hAnsi="Arial"/>
                <w:sz w:val="17"/>
              </w:rPr>
              <w:t xml:space="preserve">Two functional applications</w:t>
            </w:r>
          </w:p>
        </w:tc>
        <w:tc>
          <w:tcPr>
            <w:tcW w:type="dxa" w:w="1134"/>
          </w:tcPr>
          <w:p>
            <w:pPr>
              <w:pStyle w:val="Compact"/>
              <w:spacing w:after="40"/>
              <w:jc w:val="left"/>
            </w:pPr>
            <w:r>
              <w:rPr>
                <w:bCs/>
                <w:rFonts w:ascii="Arial" w:hAnsi="Arial"/>
                <w:b/>
                <w:sz w:val="17"/>
              </w:rPr>
              <w:t xml:space="preserve">PARTIAL</w:t>
            </w:r>
            <w:r>
              <w:rPr>
                <w:rFonts w:ascii="Arial" w:hAnsi="Arial"/>
                <w:sz w:val="17"/>
              </w:rPr>
              <w:t xml:space="preserve"> </w:t>
            </w:r>
            <w:r>
              <w:rPr>
                <w:rFonts w:ascii="Arial" w:hAnsi="Arial"/>
                <w:sz w:val="17"/>
              </w:rPr>
              <w:t xml:space="preserve">(updated 25 Oct)</w:t>
            </w:r>
          </w:p>
        </w:tc>
        <w:tc>
          <w:tcPr>
            <w:tcW w:type="dxa" w:w="3186"/>
          </w:tcPr>
          <w:p>
            <w:pPr>
              <w:pStyle w:val="Compact"/>
              <w:spacing w:after="40"/>
              <w:jc w:val="left"/>
            </w:pPr>
            <w:r>
              <w:rPr>
                <w:rFonts w:ascii="Arial" w:hAnsi="Arial"/>
                <w:sz w:val="17"/>
              </w:rPr>
              <w:t xml:space="preserve">App A = legacy estate; App B = shadow hub +</w:t>
            </w:r>
            <w:r>
              <w:rPr>
                <w:rFonts w:ascii="Arial" w:hAnsi="Arial"/>
                <w:sz w:val="17"/>
              </w:rPr>
              <w:t xml:space="preserve"> </w:t>
            </w:r>
            <w:r>
              <w:rPr>
                <w:bCs/>
                <w:rFonts w:ascii="Arial" w:hAnsi="Arial"/>
                <w:b/>
                <w:sz w:val="17"/>
              </w:rPr>
              <w:t xml:space="preserve">GxP Quality Command Centre</w:t>
            </w:r>
            <w:r>
              <w:rPr>
                <w:rFonts w:ascii="Arial" w:hAnsi="Arial"/>
                <w:sz w:val="17"/>
              </w:rPr>
              <w:t xml:space="preserve"> </w:t>
            </w:r>
            <w:r>
              <w:rPr>
                <w:rFonts w:ascii="Arial" w:hAnsi="Arial"/>
                <w:sz w:val="17"/>
              </w:rPr>
              <w:t xml:space="preserve">(</w:t>
            </w:r>
            <w:r>
              <w:rPr>
                <w:rStyle w:val="VerbatimChar"/>
                <w:rFonts w:ascii="Arial" w:hAnsi="Arial"/>
                <w:sz w:val="17"/>
              </w:rPr>
              <w:t xml:space="preserve">04_Quality_Command_Centre/</w:t>
            </w:r>
            <w:r>
              <w:rPr>
                <w:rFonts w:ascii="Arial" w:hAnsi="Arial"/>
                <w:sz w:val="17"/>
              </w:rPr>
              <w:t xml:space="preserve">) with an advisory OpenAI assistant</w:t>
            </w:r>
          </w:p>
        </w:tc>
        <w:tc>
          <w:tcPr>
            <w:tcW w:type="dxa" w:w="3186"/>
          </w:tcPr>
          <w:p>
            <w:pPr>
              <w:pStyle w:val="Compact"/>
              <w:spacing w:after="40"/>
              <w:jc w:val="left"/>
            </w:pPr>
            <w:r>
              <w:rPr>
                <w:rFonts w:ascii="Arial" w:hAnsi="Arial"/>
                <w:sz w:val="17"/>
              </w:rPr>
              <w:t xml:space="preserve">Legacy app, hub (204 py files, 17,247 lines), Command Centre (9 views) reusing the hub's intake, metrics and crosswalk code</w:t>
            </w:r>
          </w:p>
        </w:tc>
        <w:tc>
          <w:tcPr>
            <w:tcW w:type="dxa" w:w="3186"/>
          </w:tcPr>
          <w:p>
            <w:pPr>
              <w:pStyle w:val="Compact"/>
              <w:spacing w:after="40"/>
              <w:jc w:val="left"/>
            </w:pPr>
            <w:r>
              <w:rPr>
                <w:rFonts w:ascii="Arial" w:hAnsi="Arial"/>
                <w:sz w:val="17"/>
              </w:rPr>
              <w:t xml:space="preserve">The 'regenerated from the semantic layer on a second model' portability run has not been done</w:t>
            </w:r>
          </w:p>
        </w:tc>
        <w:tc>
          <w:tcPr>
            <w:tcW w:type="dxa" w:w="2064"/>
          </w:tcPr>
          <w:p>
            <w:pPr>
              <w:pStyle w:val="Compact"/>
              <w:spacing w:after="40"/>
              <w:jc w:val="left"/>
            </w:pPr>
            <w:r>
              <w:rPr>
                <w:rFonts w:ascii="Arial" w:hAnsi="Arial"/>
                <w:sz w:val="17"/>
              </w:rPr>
              <w:t xml:space="preserve">Access to a second model if the portability comparison is wanted</w:t>
            </w:r>
          </w:p>
        </w:tc>
      </w:tr>
      <w:tr>
        <w:trPr>
          <w:cantSplit/>
        </w:trPr>
        <w:tc>
          <w:tcPr>
            <w:tcW w:type="dxa" w:w="1134"/>
          </w:tcPr>
          <w:p>
            <w:pPr>
              <w:pStyle w:val="Compact"/>
              <w:spacing w:after="40"/>
              <w:jc w:val="left"/>
            </w:pPr>
            <w:r>
              <w:rPr>
                <w:rFonts w:ascii="Arial" w:hAnsi="Arial"/>
                <w:sz w:val="17"/>
              </w:rPr>
              <w:t xml:space="preserve">5</w:t>
            </w:r>
          </w:p>
        </w:tc>
        <w:tc>
          <w:tcPr>
            <w:tcW w:type="dxa" w:w="1134"/>
          </w:tcPr>
          <w:p>
            <w:pPr>
              <w:pStyle w:val="Compact"/>
              <w:spacing w:after="40"/>
              <w:jc w:val="left"/>
            </w:pPr>
            <w:r>
              <w:rPr>
                <w:rFonts w:ascii="Arial" w:hAnsi="Arial"/>
                <w:sz w:val="17"/>
              </w:rPr>
              <w:t xml:space="preserve">Enterprise-grade UI/UX</w:t>
            </w:r>
          </w:p>
        </w:tc>
        <w:tc>
          <w:tcPr>
            <w:tcW w:type="dxa" w:w="1134"/>
          </w:tcPr>
          <w:p>
            <w:pPr>
              <w:pStyle w:val="Compact"/>
              <w:spacing w:after="40"/>
              <w:jc w:val="left"/>
            </w:pPr>
            <w:r>
              <w:rPr>
                <w:bCs/>
                <w:rFonts w:ascii="Arial" w:hAnsi="Arial"/>
                <w:b/>
                <w:sz w:val="17"/>
              </w:rPr>
              <w:t xml:space="preserve">YES</w:t>
            </w:r>
            <w:r>
              <w:rPr>
                <w:rFonts w:ascii="Arial" w:hAnsi="Arial"/>
                <w:sz w:val="17"/>
              </w:rPr>
              <w:t xml:space="preserve"> </w:t>
            </w:r>
            <w:r>
              <w:rPr>
                <w:rFonts w:ascii="Arial" w:hAnsi="Arial"/>
                <w:sz w:val="17"/>
              </w:rPr>
              <w:t xml:space="preserve">(updated 25 Oct)</w:t>
            </w:r>
          </w:p>
        </w:tc>
        <w:tc>
          <w:tcPr>
            <w:tcW w:type="dxa" w:w="3186"/>
          </w:tcPr>
          <w:p>
            <w:pPr>
              <w:pStyle w:val="Compact"/>
              <w:spacing w:after="40"/>
              <w:jc w:val="left"/>
            </w:pPr>
            <w:r>
              <w:rPr>
                <w:rFonts w:ascii="Arial" w:hAnsi="Arial"/>
                <w:sz w:val="17"/>
              </w:rPr>
              <w:t xml:space="preserve">Running Command Centre: executive overview, cases with trace drawer, intake &amp; exception queues, month-end truth, definitions, Zone H gate, AI assistant, release evidence, system; 6 role personas, deny-by-default</w:t>
            </w:r>
          </w:p>
        </w:tc>
        <w:tc>
          <w:tcPr>
            <w:tcW w:type="dxa" w:w="3186"/>
          </w:tcPr>
          <w:p>
            <w:pPr>
              <w:pStyle w:val="Compact"/>
              <w:spacing w:after="40"/>
              <w:jc w:val="left"/>
            </w:pPr>
            <w:r>
              <w:rPr>
                <w:rFonts w:ascii="Arial" w:hAnsi="Arial"/>
                <w:sz w:val="17"/>
              </w:rPr>
              <w:t xml:space="preserve">Hub's 7 server-rendered screens remain the system of record for actions</w:t>
            </w:r>
          </w:p>
        </w:tc>
        <w:tc>
          <w:tcPr>
            <w:tcW w:type="dxa" w:w="3186"/>
          </w:tcPr>
          <w:p>
            <w:pPr>
              <w:pStyle w:val="Compact"/>
              <w:spacing w:after="40"/>
              <w:jc w:val="left"/>
            </w:pPr>
            <w:r>
              <w:rPr>
                <w:rFonts w:ascii="Arial" w:hAnsi="Arial"/>
                <w:sz w:val="17"/>
              </w:rPr>
              <w:t xml:space="preserve">Read-only (no reviewer writes in the new UI); personas are demo personas, not authentication; loopback only</w:t>
            </w:r>
          </w:p>
        </w:tc>
        <w:tc>
          <w:tcPr>
            <w:tcW w:type="dxa" w:w="2064"/>
          </w:tcPr>
          <w:p>
            <w:pPr>
              <w:pStyle w:val="Compact"/>
              <w:spacing w:after="40"/>
              <w:jc w:val="left"/>
            </w:pPr>
            <w:r>
              <w:rPr>
                <w:rFonts w:ascii="Arial" w:hAnsi="Arial"/>
                <w:sz w:val="17"/>
              </w:rPr>
              <w:t xml:space="preserve">none</w:t>
            </w:r>
          </w:p>
        </w:tc>
      </w:tr>
      <w:tr>
        <w:trPr>
          <w:cantSplit/>
        </w:trPr>
        <w:tc>
          <w:tcPr>
            <w:tcW w:type="dxa" w:w="1134"/>
          </w:tcPr>
          <w:p>
            <w:pPr>
              <w:pStyle w:val="Compact"/>
              <w:spacing w:after="40"/>
              <w:jc w:val="left"/>
            </w:pPr>
            <w:r>
              <w:rPr>
                <w:rFonts w:ascii="Arial" w:hAnsi="Arial"/>
                <w:sz w:val="17"/>
              </w:rPr>
              <w:t xml:space="preserve">6</w:t>
            </w:r>
          </w:p>
        </w:tc>
        <w:tc>
          <w:tcPr>
            <w:tcW w:type="dxa" w:w="1134"/>
          </w:tcPr>
          <w:p>
            <w:pPr>
              <w:pStyle w:val="Compact"/>
              <w:spacing w:after="40"/>
              <w:jc w:val="left"/>
            </w:pPr>
            <w:r>
              <w:rPr>
                <w:rFonts w:ascii="Arial" w:hAnsi="Arial"/>
                <w:sz w:val="17"/>
              </w:rPr>
              <w:t xml:space="preserve">Agentic AI engineering</w:t>
            </w:r>
          </w:p>
        </w:tc>
        <w:tc>
          <w:tcPr>
            <w:tcW w:type="dxa" w:w="1134"/>
          </w:tcPr>
          <w:p>
            <w:pPr>
              <w:pStyle w:val="Compact"/>
              <w:spacing w:after="40"/>
              <w:jc w:val="left"/>
            </w:pPr>
            <w:r>
              <w:rPr>
                <w:bCs/>
                <w:rFonts w:ascii="Arial" w:hAnsi="Arial"/>
                <w:b/>
                <w:sz w:val="17"/>
              </w:rPr>
              <w:t xml:space="preserve">PARTIAL</w:t>
            </w:r>
            <w:r>
              <w:rPr>
                <w:rFonts w:ascii="Arial" w:hAnsi="Arial"/>
                <w:sz w:val="17"/>
              </w:rPr>
              <w:t xml:space="preserve"> </w:t>
            </w:r>
            <w:r>
              <w:rPr>
                <w:rFonts w:ascii="Arial" w:hAnsi="Arial"/>
                <w:sz w:val="17"/>
              </w:rPr>
              <w:t xml:space="preserve">(updated 25 Oct)</w:t>
            </w:r>
          </w:p>
        </w:tc>
        <w:tc>
          <w:tcPr>
            <w:tcW w:type="dxa" w:w="3186"/>
          </w:tcPr>
          <w:p>
            <w:pPr>
              <w:pStyle w:val="Compact"/>
              <w:spacing w:after="40"/>
              <w:jc w:val="left"/>
            </w:pPr>
            <w:r>
              <w:rPr>
                <w:rFonts w:ascii="Arial" w:hAnsi="Arial"/>
                <w:sz w:val="17"/>
              </w:rPr>
              <w:t xml:space="preserve">Advisory assistant (autonomy A1) with guard → retrieve → wrap → generate → label/log pipeline; Zone H refusals for AI actors; autonomy ladder A0–A5</w:t>
            </w:r>
          </w:p>
        </w:tc>
        <w:tc>
          <w:tcPr>
            <w:tcW w:type="dxa" w:w="3186"/>
          </w:tcPr>
          <w:p>
            <w:pPr>
              <w:pStyle w:val="Compact"/>
              <w:spacing w:after="40"/>
              <w:jc w:val="left"/>
            </w:pPr>
            <w:r>
              <w:rPr>
                <w:rFonts w:ascii="Arial" w:hAnsi="Arial"/>
                <w:sz w:val="17"/>
              </w:rPr>
              <w:t xml:space="preserve">You chose to add an OpenAI assistant (25 Oct). Core decision path stays deterministic (OD-08). Multi-step planning agents (A4) are not built</w:t>
            </w:r>
          </w:p>
        </w:tc>
        <w:tc>
          <w:tcPr>
            <w:tcW w:type="dxa" w:w="3186"/>
          </w:tcPr>
          <w:p>
            <w:pPr>
              <w:pStyle w:val="Compact"/>
              <w:spacing w:after="40"/>
              <w:jc w:val="left"/>
            </w:pPr>
            <w:r>
              <w:rPr>
                <w:rFonts w:ascii="Arial" w:hAnsi="Arial"/>
                <w:sz w:val="17"/>
              </w:rPr>
              <w:t xml:space="preserve">No multi-step agent or tool orchestration; assistant not evaluated on real documents (RQ-1)</w:t>
            </w:r>
          </w:p>
        </w:tc>
        <w:tc>
          <w:tcPr>
            <w:tcW w:type="dxa" w:w="2064"/>
          </w:tcPr>
          <w:p>
            <w:pPr>
              <w:pStyle w:val="Compact"/>
              <w:spacing w:after="40"/>
              <w:jc w:val="left"/>
            </w:pPr>
            <w:r>
              <w:rPr>
                <w:rFonts w:ascii="Arial" w:hAnsi="Arial"/>
                <w:sz w:val="17"/>
              </w:rPr>
              <w:t xml:space="preserve">Decide whether an A2 'draft evidence pack for human approval' agent is in scope</w:t>
            </w:r>
          </w:p>
        </w:tc>
      </w:tr>
      <w:tr>
        <w:trPr>
          <w:cantSplit/>
        </w:trPr>
        <w:tc>
          <w:tcPr>
            <w:tcW w:type="dxa" w:w="1134"/>
          </w:tcPr>
          <w:p>
            <w:pPr>
              <w:pStyle w:val="Compact"/>
              <w:spacing w:after="40"/>
              <w:jc w:val="left"/>
            </w:pPr>
            <w:r>
              <w:rPr>
                <w:rFonts w:ascii="Arial" w:hAnsi="Arial"/>
                <w:sz w:val="17"/>
              </w:rPr>
              <w:t xml:space="preserve">7</w:t>
            </w:r>
          </w:p>
        </w:tc>
        <w:tc>
          <w:tcPr>
            <w:tcW w:type="dxa" w:w="1134"/>
          </w:tcPr>
          <w:p>
            <w:pPr>
              <w:pStyle w:val="Compact"/>
              <w:spacing w:after="40"/>
              <w:jc w:val="left"/>
            </w:pPr>
            <w:r>
              <w:rPr>
                <w:rFonts w:ascii="Arial" w:hAnsi="Arial"/>
                <w:sz w:val="17"/>
              </w:rPr>
              <w:t xml:space="preserve">Knowledge graphs</w:t>
            </w:r>
          </w:p>
        </w:tc>
        <w:tc>
          <w:tcPr>
            <w:tcW w:type="dxa" w:w="1134"/>
          </w:tcPr>
          <w:p>
            <w:pPr>
              <w:pStyle w:val="Compact"/>
              <w:spacing w:after="40"/>
              <w:jc w:val="left"/>
            </w:pPr>
            <w:r>
              <w:rPr>
                <w:bCs/>
                <w:rFonts w:ascii="Arial" w:hAnsi="Arial"/>
                <w:b/>
                <w:sz w:val="17"/>
              </w:rPr>
              <w:t xml:space="preserve">PARTIAL</w:t>
            </w:r>
          </w:p>
        </w:tc>
        <w:tc>
          <w:tcPr>
            <w:tcW w:type="dxa" w:w="3186"/>
          </w:tcPr>
          <w:p>
            <w:pPr>
              <w:pStyle w:val="Compact"/>
              <w:spacing w:after="40"/>
              <w:jc w:val="left"/>
            </w:pPr>
            <w:r>
              <w:rPr>
                <w:iCs/>
                <w:rFonts w:ascii="Arial" w:hAnsi="Arial"/>
                <w:i/>
                <w:sz w:val="17"/>
              </w:rPr>
              <w:t xml:space="preserve">Graph export</w:t>
            </w:r>
            <w:r>
              <w:rPr>
                <w:rFonts w:ascii="Arial" w:hAnsi="Arial"/>
                <w:sz w:val="17"/>
              </w:rPr>
              <w:t xml:space="preserve"> </w:t>
            </w:r>
            <w:r>
              <w:rPr>
                <w:rFonts w:ascii="Arial" w:hAnsi="Arial"/>
                <w:sz w:val="17"/>
              </w:rPr>
              <w:t xml:space="preserve">from the semantic layer: nodes/edges JSON + Mermaid diagram; optional RDF/Turtle</w:t>
            </w:r>
          </w:p>
        </w:tc>
        <w:tc>
          <w:tcPr>
            <w:tcW w:type="dxa" w:w="3186"/>
          </w:tcPr>
          <w:p>
            <w:pPr>
              <w:pStyle w:val="Compact"/>
              <w:spacing w:after="40"/>
              <w:jc w:val="left"/>
            </w:pPr>
            <w:r>
              <w:rPr>
                <w:rStyle w:val="VerbatimChar"/>
                <w:rFonts w:ascii="Arial" w:hAnsi="Arial"/>
                <w:sz w:val="17"/>
              </w:rPr>
              <w:t xml:space="preserve">relationships.yaml</w:t>
            </w:r>
            <w:r>
              <w:rPr>
                <w:rFonts w:ascii="Arial" w:hAnsi="Arial"/>
                <w:sz w:val="17"/>
              </w:rPr>
              <w:t xml:space="preserve"> </w:t>
            </w:r>
            <w:r>
              <w:rPr>
                <w:rFonts w:ascii="Arial" w:hAnsi="Arial"/>
                <w:sz w:val="17"/>
              </w:rPr>
              <w:t xml:space="preserve">(new), crosswalk (7 id types, 6 link-type codes / 8 type pairs, 168 exact-key links), joined view</w:t>
            </w:r>
          </w:p>
        </w:tc>
        <w:tc>
          <w:tcPr>
            <w:tcW w:type="dxa" w:w="3186"/>
          </w:tcPr>
          <w:p>
            <w:pPr>
              <w:pStyle w:val="Compact"/>
              <w:spacing w:after="40"/>
              <w:jc w:val="left"/>
            </w:pPr>
            <w:r>
              <w:rPr>
                <w:rFonts w:ascii="Arial" w:hAnsi="Arial"/>
                <w:sz w:val="17"/>
              </w:rPr>
              <w:t xml:space="preserve">Stage 11 chose</w:t>
            </w:r>
            <w:r>
              <w:rPr>
                <w:rFonts w:ascii="Arial" w:hAnsi="Arial"/>
                <w:sz w:val="17"/>
              </w:rPr>
              <w:t xml:space="preserve"> </w:t>
            </w:r>
            <w:r>
              <w:rPr>
                <w:iCs/>
                <w:rFonts w:ascii="Arial" w:hAnsi="Arial"/>
                <w:i/>
                <w:sz w:val="17"/>
              </w:rPr>
              <w:t xml:space="preserve">no</w:t>
            </w:r>
            <w:r>
              <w:rPr>
                <w:rFonts w:ascii="Arial" w:hAnsi="Arial"/>
                <w:sz w:val="17"/>
              </w:rPr>
              <w:t xml:space="preserve"> </w:t>
            </w:r>
            <w:r>
              <w:rPr>
                <w:rFonts w:ascii="Arial" w:hAnsi="Arial"/>
                <w:sz w:val="17"/>
              </w:rPr>
              <w:t xml:space="preserve">graph database; enterprise graph has one untyped relation (</w:t>
            </w:r>
            <w:r>
              <w:rPr>
                <w:rStyle w:val="VerbatimChar"/>
                <w:rFonts w:ascii="Arial" w:hAnsi="Arial"/>
                <w:sz w:val="17"/>
              </w:rPr>
              <w:t xml:space="preserve">relates_to</w:t>
            </w:r>
            <w:r>
              <w:rPr>
                <w:rFonts w:ascii="Arial" w:hAnsi="Arial"/>
                <w:sz w:val="17"/>
              </w:rPr>
              <w:t xml:space="preserve">, ER-11-02). "Justified by use case" is arguable for explainability only</w:t>
            </w:r>
          </w:p>
        </w:tc>
        <w:tc>
          <w:tcPr>
            <w:tcW w:type="dxa" w:w="2064"/>
          </w:tcPr>
          <w:p>
            <w:pPr>
              <w:pStyle w:val="Compact"/>
              <w:spacing w:after="40"/>
              <w:jc w:val="left"/>
            </w:pPr>
            <w:r>
              <w:rPr>
                <w:rFonts w:ascii="Arial" w:hAnsi="Arial"/>
                <w:sz w:val="17"/>
              </w:rPr>
              <w:t xml:space="preserve">none (I can proceed with the lightweight export)</w:t>
            </w:r>
          </w:p>
        </w:tc>
      </w:tr>
      <w:tr>
        <w:trPr>
          <w:cantSplit/>
        </w:trPr>
        <w:tc>
          <w:tcPr>
            <w:tcW w:type="dxa" w:w="1134"/>
          </w:tcPr>
          <w:p>
            <w:pPr>
              <w:pStyle w:val="Compact"/>
              <w:spacing w:after="40"/>
              <w:jc w:val="left"/>
            </w:pPr>
            <w:r>
              <w:rPr>
                <w:rFonts w:ascii="Arial" w:hAnsi="Arial"/>
                <w:sz w:val="17"/>
              </w:rPr>
              <w:t xml:space="preserve">8</w:t>
            </w:r>
          </w:p>
        </w:tc>
        <w:tc>
          <w:tcPr>
            <w:tcW w:type="dxa" w:w="1134"/>
          </w:tcPr>
          <w:p>
            <w:pPr>
              <w:pStyle w:val="Compact"/>
              <w:spacing w:after="40"/>
              <w:jc w:val="left"/>
            </w:pPr>
            <w:r>
              <w:rPr>
                <w:rFonts w:ascii="Arial" w:hAnsi="Arial"/>
                <w:sz w:val="17"/>
              </w:rPr>
              <w:t xml:space="preserve">Semantic Layer</w:t>
            </w:r>
          </w:p>
        </w:tc>
        <w:tc>
          <w:tcPr>
            <w:tcW w:type="dxa" w:w="1134"/>
          </w:tcPr>
          <w:p>
            <w:pPr>
              <w:pStyle w:val="Compact"/>
              <w:spacing w:after="40"/>
              <w:jc w:val="left"/>
            </w:pPr>
            <w:r>
              <w:rPr>
                <w:bCs/>
                <w:rFonts w:ascii="Arial" w:hAnsi="Arial"/>
                <w:b/>
                <w:sz w:val="17"/>
              </w:rPr>
              <w:t xml:space="preserve">YES — done now</w:t>
            </w:r>
          </w:p>
        </w:tc>
        <w:tc>
          <w:tcPr>
            <w:tcW w:type="dxa" w:w="3186"/>
          </w:tcPr>
          <w:p>
            <w:pPr>
              <w:pStyle w:val="Compact"/>
              <w:spacing w:after="40"/>
              <w:jc w:val="left"/>
            </w:pPr>
            <w:r>
              <w:rPr>
                <w:rFonts w:ascii="Arial" w:hAnsi="Arial"/>
                <w:sz w:val="17"/>
              </w:rPr>
              <w:t xml:space="preserve">Delivered:</w:t>
            </w:r>
            <w:r>
              <w:rPr>
                <w:rFonts w:ascii="Arial" w:hAnsi="Arial"/>
                <w:sz w:val="17"/>
              </w:rPr>
              <w:t xml:space="preserve"> </w:t>
            </w:r>
            <w:r>
              <w:rPr>
                <w:rStyle w:val="VerbatimChar"/>
                <w:rFonts w:ascii="Arial" w:hAnsi="Arial"/>
                <w:sz w:val="17"/>
              </w:rPr>
              <w:t xml:space="preserve">semantic-layer/</w:t>
            </w:r>
            <w:r>
              <w:rPr>
                <w:rFonts w:ascii="Arial" w:hAnsi="Arial"/>
                <w:sz w:val="17"/>
              </w:rPr>
              <w:t xml:space="preserve"> </w:t>
            </w:r>
            <w:r>
              <w:rPr>
                <w:rFonts w:ascii="Arial" w:hAnsi="Arial"/>
                <w:sz w:val="17"/>
              </w:rPr>
              <w:t xml:space="preserve">(glossary, entities, relationships, status taxonomy, business rules, metrics, access semantics, AI-context policy, workflows, constraints, context dependencies, JSON schema, generated JSON, tests, assessment)</w:t>
            </w:r>
          </w:p>
        </w:tc>
        <w:tc>
          <w:tcPr>
            <w:tcW w:type="dxa" w:w="3186"/>
          </w:tcPr>
          <w:p>
            <w:pPr>
              <w:pStyle w:val="Compact"/>
              <w:spacing w:after="40"/>
              <w:jc w:val="left"/>
            </w:pPr>
            <w:r>
              <w:rPr>
                <w:rFonts w:ascii="Arial" w:hAnsi="Arial"/>
                <w:sz w:val="17"/>
              </w:rPr>
              <w:t xml:space="preserve">See §6</w:t>
            </w:r>
          </w:p>
        </w:tc>
        <w:tc>
          <w:tcPr>
            <w:tcW w:type="dxa" w:w="3186"/>
          </w:tcPr>
          <w:p>
            <w:pPr>
              <w:pStyle w:val="Compact"/>
              <w:spacing w:after="40"/>
              <w:jc w:val="left"/>
            </w:pPr>
            <w:r>
              <w:rPr>
                <w:rFonts w:ascii="Arial" w:hAnsi="Arial"/>
                <w:sz w:val="17"/>
              </w:rPr>
              <w:t xml:space="preserve">Not yet proven portable — requires the model-swap test</w:t>
            </w:r>
          </w:p>
        </w:tc>
        <w:tc>
          <w:tcPr>
            <w:tcW w:type="dxa" w:w="2064"/>
          </w:tcPr>
          <w:p>
            <w:pPr>
              <w:pStyle w:val="Compact"/>
              <w:spacing w:after="40"/>
              <w:jc w:val="left"/>
            </w:pPr>
            <w:r>
              <w:rPr>
                <w:rFonts w:ascii="Arial" w:hAnsi="Arial"/>
                <w:sz w:val="17"/>
              </w:rPr>
              <w:t xml:space="preserve">Run the portability test when ready</w:t>
            </w:r>
          </w:p>
        </w:tc>
      </w:tr>
      <w:tr>
        <w:trPr>
          <w:cantSplit/>
        </w:trPr>
        <w:tc>
          <w:tcPr>
            <w:tcW w:type="dxa" w:w="1134"/>
          </w:tcPr>
          <w:p>
            <w:pPr>
              <w:pStyle w:val="Compact"/>
              <w:spacing w:after="40"/>
              <w:jc w:val="left"/>
            </w:pPr>
            <w:r>
              <w:rPr>
                <w:rFonts w:ascii="Arial" w:hAnsi="Arial"/>
                <w:sz w:val="17"/>
              </w:rPr>
              <w:t xml:space="preserve">9</w:t>
            </w:r>
          </w:p>
        </w:tc>
        <w:tc>
          <w:tcPr>
            <w:tcW w:type="dxa" w:w="1134"/>
          </w:tcPr>
          <w:p>
            <w:pPr>
              <w:pStyle w:val="Compact"/>
              <w:spacing w:after="40"/>
              <w:jc w:val="left"/>
            </w:pPr>
            <w:r>
              <w:rPr>
                <w:rFonts w:ascii="Arial" w:hAnsi="Arial"/>
                <w:sz w:val="17"/>
              </w:rPr>
              <w:t xml:space="preserve">Specification-Driven Development</w:t>
            </w:r>
          </w:p>
        </w:tc>
        <w:tc>
          <w:tcPr>
            <w:tcW w:type="dxa" w:w="1134"/>
          </w:tcPr>
          <w:p>
            <w:pPr>
              <w:pStyle w:val="Compact"/>
              <w:spacing w:after="40"/>
              <w:jc w:val="left"/>
            </w:pPr>
            <w:r>
              <w:rPr>
                <w:bCs/>
                <w:rFonts w:ascii="Arial" w:hAnsi="Arial"/>
                <w:b/>
                <w:sz w:val="17"/>
              </w:rPr>
              <w:t xml:space="preserve">YES</w:t>
            </w:r>
          </w:p>
        </w:tc>
        <w:tc>
          <w:tcPr>
            <w:tcW w:type="dxa" w:w="3186"/>
          </w:tcPr>
          <w:p>
            <w:pPr>
              <w:pStyle w:val="Compact"/>
              <w:spacing w:after="40"/>
              <w:jc w:val="left"/>
            </w:pPr>
            <w:r>
              <w:rPr>
                <w:iCs/>
                <w:rFonts w:ascii="Arial" w:hAnsi="Arial"/>
                <w:i/>
                <w:sz w:val="17"/>
              </w:rPr>
              <w:t xml:space="preserve">SDD evidence index</w:t>
            </w:r>
            <w:r>
              <w:rPr>
                <w:rFonts w:ascii="Arial" w:hAnsi="Arial"/>
                <w:sz w:val="17"/>
              </w:rPr>
              <w:t xml:space="preserve">: requirement → spec → contract → ADR → acceptance criterion</w:t>
            </w:r>
          </w:p>
        </w:tc>
        <w:tc>
          <w:tcPr>
            <w:tcW w:type="dxa" w:w="3186"/>
          </w:tcPr>
          <w:p>
            <w:pPr>
              <w:pStyle w:val="Compact"/>
              <w:spacing w:after="40"/>
              <w:jc w:val="left"/>
            </w:pPr>
            <w:r>
              <w:rPr>
                <w:rFonts w:ascii="Arial" w:hAnsi="Arial"/>
                <w:sz w:val="17"/>
              </w:rPr>
              <w:t xml:space="preserve">52 FRs + 20 PNFRs, 48 spec business rules (SBR), 10 feature specs, OpenAPI (48 ops), 16 JSON schemas, DDL, AC-* criteria, 18 ADRs (all still DRAFT status)</w:t>
            </w:r>
          </w:p>
        </w:tc>
        <w:tc>
          <w:tcPr>
            <w:tcW w:type="dxa" w:w="3186"/>
          </w:tcPr>
          <w:p>
            <w:pPr>
              <w:pStyle w:val="Compact"/>
              <w:spacing w:after="40"/>
              <w:jc w:val="left"/>
            </w:pPr>
            <w:r>
              <w:rPr>
                <w:rFonts w:ascii="Arial" w:hAnsi="Arial"/>
                <w:sz w:val="17"/>
              </w:rPr>
              <w:t xml:space="preserve">ADRs never individually ACCEPTED (AB-AR-7)</w:t>
            </w:r>
          </w:p>
        </w:tc>
        <w:tc>
          <w:tcPr>
            <w:tcW w:type="dxa" w:w="2064"/>
          </w:tcPr>
          <w:p>
            <w:pPr>
              <w:pStyle w:val="Compact"/>
              <w:spacing w:after="40"/>
              <w:jc w:val="left"/>
            </w:pPr>
            <w:r>
              <w:rPr>
                <w:rFonts w:ascii="Arial" w:hAnsi="Arial"/>
                <w:sz w:val="17"/>
              </w:rPr>
              <w:t xml:space="preserve">none</w:t>
            </w:r>
          </w:p>
        </w:tc>
      </w:tr>
      <w:tr>
        <w:trPr>
          <w:cantSplit/>
        </w:trPr>
        <w:tc>
          <w:tcPr>
            <w:tcW w:type="dxa" w:w="1134"/>
          </w:tcPr>
          <w:p>
            <w:pPr>
              <w:pStyle w:val="Compact"/>
              <w:spacing w:after="40"/>
              <w:jc w:val="left"/>
            </w:pPr>
            <w:r>
              <w:rPr>
                <w:rFonts w:ascii="Arial" w:hAnsi="Arial"/>
                <w:sz w:val="17"/>
              </w:rPr>
              <w:t xml:space="preserve">10</w:t>
            </w:r>
          </w:p>
        </w:tc>
        <w:tc>
          <w:tcPr>
            <w:tcW w:type="dxa" w:w="1134"/>
          </w:tcPr>
          <w:p>
            <w:pPr>
              <w:pStyle w:val="Compact"/>
              <w:spacing w:after="40"/>
              <w:jc w:val="left"/>
            </w:pPr>
            <w:r>
              <w:rPr>
                <w:rFonts w:ascii="Arial" w:hAnsi="Arial"/>
                <w:sz w:val="17"/>
              </w:rPr>
              <w:t xml:space="preserve">Test-Driven Development</w:t>
            </w:r>
          </w:p>
        </w:tc>
        <w:tc>
          <w:tcPr>
            <w:tcW w:type="dxa" w:w="1134"/>
          </w:tcPr>
          <w:p>
            <w:pPr>
              <w:pStyle w:val="Compact"/>
              <w:spacing w:after="40"/>
              <w:jc w:val="left"/>
            </w:pPr>
            <w:r>
              <w:rPr>
                <w:bCs/>
                <w:rFonts w:ascii="Arial" w:hAnsi="Arial"/>
                <w:b/>
                <w:sz w:val="17"/>
              </w:rPr>
              <w:t xml:space="preserve">YES</w:t>
            </w:r>
          </w:p>
        </w:tc>
        <w:tc>
          <w:tcPr>
            <w:tcW w:type="dxa" w:w="3186"/>
          </w:tcPr>
          <w:p>
            <w:pPr>
              <w:pStyle w:val="Compact"/>
              <w:spacing w:after="40"/>
              <w:jc w:val="left"/>
            </w:pPr>
            <w:r>
              <w:rPr>
                <w:iCs/>
                <w:rFonts w:ascii="Arial" w:hAnsi="Arial"/>
                <w:i/>
                <w:sz w:val="17"/>
              </w:rPr>
              <w:t xml:space="preserve">Test pyramid &amp; evidence summary</w:t>
            </w:r>
            <w:r>
              <w:rPr>
                <w:rFonts w:ascii="Arial" w:hAnsi="Arial"/>
                <w:sz w:val="17"/>
              </w:rPr>
              <w:t xml:space="preserve"> </w:t>
            </w:r>
            <w:r>
              <w:rPr>
                <w:rFonts w:ascii="Arial" w:hAnsi="Arial"/>
                <w:sz w:val="17"/>
              </w:rPr>
              <w:t xml:space="preserve">(characterization, unit, integration, regression, contract, e2e, mutation)</w:t>
            </w:r>
          </w:p>
        </w:tc>
        <w:tc>
          <w:tcPr>
            <w:tcW w:type="dxa" w:w="3186"/>
          </w:tcPr>
          <w:p>
            <w:pPr>
              <w:pStyle w:val="Compact"/>
              <w:spacing w:after="40"/>
              <w:jc w:val="left"/>
            </w:pPr>
            <w:r>
              <w:rPr>
                <w:rFonts w:ascii="Arial" w:hAnsi="Arial"/>
                <w:sz w:val="17"/>
              </w:rPr>
              <w:t xml:space="preserve">Characterization harness 134/134; mutation gate 15/15 (vs shipped suite 1/15); 396 ok / 1 skipped at Stage 16; 419 methods at Stage 20, 31 regression groups green at final merge; planned tests per increment written before build</w:t>
            </w:r>
          </w:p>
        </w:tc>
        <w:tc>
          <w:tcPr>
            <w:tcW w:type="dxa" w:w="3186"/>
          </w:tcPr>
          <w:p>
            <w:pPr>
              <w:pStyle w:val="Compact"/>
              <w:spacing w:after="40"/>
              <w:jc w:val="left"/>
            </w:pPr>
            <w:r>
              <w:rPr>
                <w:rFonts w:ascii="Arial" w:hAnsi="Arial"/>
                <w:sz w:val="17"/>
              </w:rPr>
              <w:t xml:space="preserve">CT-13 fails on Node patch drift; test totals not re-run at final HEAD (U-43-12); no CI installed</w:t>
            </w:r>
          </w:p>
        </w:tc>
        <w:tc>
          <w:tcPr>
            <w:tcW w:type="dxa" w:w="2064"/>
          </w:tcPr>
          <w:p>
            <w:pPr>
              <w:pStyle w:val="Compact"/>
              <w:spacing w:after="40"/>
              <w:jc w:val="left"/>
            </w:pPr>
            <w:r>
              <w:rPr>
                <w:rFonts w:ascii="Arial" w:hAnsi="Arial"/>
                <w:sz w:val="17"/>
              </w:rPr>
              <w:t xml:space="preserve">Permission to re-run in a sandbox copy if you want fresh numbers</w:t>
            </w:r>
          </w:p>
        </w:tc>
      </w:tr>
      <w:tr>
        <w:trPr>
          <w:cantSplit/>
        </w:trPr>
        <w:tc>
          <w:tcPr>
            <w:tcW w:type="dxa" w:w="1134"/>
          </w:tcPr>
          <w:p>
            <w:pPr>
              <w:pStyle w:val="Compact"/>
              <w:spacing w:after="40"/>
              <w:jc w:val="left"/>
            </w:pPr>
            <w:r>
              <w:rPr>
                <w:rFonts w:ascii="Arial" w:hAnsi="Arial"/>
                <w:sz w:val="17"/>
              </w:rPr>
              <w:t xml:space="preserve">11</w:t>
            </w:r>
          </w:p>
        </w:tc>
        <w:tc>
          <w:tcPr>
            <w:tcW w:type="dxa" w:w="1134"/>
          </w:tcPr>
          <w:p>
            <w:pPr>
              <w:pStyle w:val="Compact"/>
              <w:spacing w:after="40"/>
              <w:jc w:val="left"/>
            </w:pPr>
            <w:r>
              <w:rPr>
                <w:rFonts w:ascii="Arial" w:hAnsi="Arial"/>
                <w:sz w:val="17"/>
              </w:rPr>
              <w:t xml:space="preserve">Security &amp; Threat Modeling</w:t>
            </w:r>
          </w:p>
        </w:tc>
        <w:tc>
          <w:tcPr>
            <w:tcW w:type="dxa" w:w="1134"/>
          </w:tcPr>
          <w:p>
            <w:pPr>
              <w:pStyle w:val="Compact"/>
              <w:spacing w:after="40"/>
              <w:jc w:val="left"/>
            </w:pPr>
            <w:r>
              <w:rPr>
                <w:bCs/>
                <w:rFonts w:ascii="Arial" w:hAnsi="Arial"/>
                <w:b/>
                <w:sz w:val="17"/>
              </w:rPr>
              <w:t xml:space="preserve">YES</w:t>
            </w:r>
          </w:p>
        </w:tc>
        <w:tc>
          <w:tcPr>
            <w:tcW w:type="dxa" w:w="3186"/>
          </w:tcPr>
          <w:p>
            <w:pPr>
              <w:pStyle w:val="Compact"/>
              <w:spacing w:after="40"/>
              <w:jc w:val="left"/>
            </w:pPr>
            <w:r>
              <w:rPr>
                <w:iCs/>
                <w:rFonts w:ascii="Arial" w:hAnsi="Arial"/>
                <w:i/>
                <w:sz w:val="17"/>
              </w:rPr>
              <w:t xml:space="preserve">Security story</w:t>
            </w:r>
            <w:r>
              <w:rPr>
                <w:rFonts w:ascii="Arial" w:hAnsi="Arial"/>
                <w:sz w:val="17"/>
              </w:rPr>
              <w:t xml:space="preserve">: threat model, attack surface, control matrix, red-team results</w:t>
            </w:r>
          </w:p>
        </w:tc>
        <w:tc>
          <w:tcPr>
            <w:tcW w:type="dxa" w:w="3186"/>
          </w:tcPr>
          <w:p>
            <w:pPr>
              <w:pStyle w:val="Compact"/>
              <w:spacing w:after="40"/>
              <w:jc w:val="left"/>
            </w:pPr>
            <w:r>
              <w:rPr>
                <w:rStyle w:val="VerbatimChar"/>
                <w:rFonts w:ascii="Arial" w:hAnsi="Arial"/>
                <w:sz w:val="17"/>
              </w:rPr>
              <w:t xml:space="preserve">docs/24-security-privacy/*</w:t>
            </w:r>
            <w:r>
              <w:rPr>
                <w:rFonts w:ascii="Arial" w:hAnsi="Arial"/>
                <w:sz w:val="17"/>
              </w:rPr>
              <w:t xml:space="preserve">, TEVV (11 findings, no Critical, 1 High fixed under assumption), Stage 27 hardening (F-01..F-07 fixed)</w:t>
            </w:r>
          </w:p>
        </w:tc>
        <w:tc>
          <w:tcPr>
            <w:tcW w:type="dxa" w:w="3186"/>
          </w:tcPr>
          <w:p>
            <w:pPr>
              <w:pStyle w:val="Compact"/>
              <w:spacing w:after="40"/>
              <w:jc w:val="left"/>
            </w:pPr>
            <w:r>
              <w:rPr>
                <w:rFonts w:ascii="Arial" w:hAnsi="Arial"/>
                <w:sz w:val="17"/>
              </w:rPr>
              <w:t xml:space="preserve">No LLM/RAG/agent threats because there is no AI; no TLS, no 2FA, no external pen test</w:t>
            </w:r>
          </w:p>
        </w:tc>
        <w:tc>
          <w:tcPr>
            <w:tcW w:type="dxa" w:w="2064"/>
          </w:tcPr>
          <w:p>
            <w:pPr>
              <w:pStyle w:val="Compact"/>
              <w:spacing w:after="40"/>
              <w:jc w:val="left"/>
            </w:pPr>
            <w:r>
              <w:rPr>
                <w:rFonts w:ascii="Arial" w:hAnsi="Arial"/>
                <w:sz w:val="17"/>
              </w:rPr>
              <w:t xml:space="preserve">none</w:t>
            </w:r>
          </w:p>
        </w:tc>
      </w:tr>
      <w:tr>
        <w:trPr>
          <w:cantSplit/>
        </w:trPr>
        <w:tc>
          <w:tcPr>
            <w:tcW w:type="dxa" w:w="1134"/>
          </w:tcPr>
          <w:p>
            <w:pPr>
              <w:pStyle w:val="Compact"/>
              <w:spacing w:after="40"/>
              <w:jc w:val="left"/>
            </w:pPr>
            <w:r>
              <w:rPr>
                <w:rFonts w:ascii="Arial" w:hAnsi="Arial"/>
                <w:sz w:val="17"/>
              </w:rPr>
              <w:t xml:space="preserve">12</w:t>
            </w:r>
          </w:p>
        </w:tc>
        <w:tc>
          <w:tcPr>
            <w:tcW w:type="dxa" w:w="1134"/>
          </w:tcPr>
          <w:p>
            <w:pPr>
              <w:pStyle w:val="Compact"/>
              <w:spacing w:after="40"/>
              <w:jc w:val="left"/>
            </w:pPr>
            <w:r>
              <w:rPr>
                <w:rFonts w:ascii="Arial" w:hAnsi="Arial"/>
                <w:sz w:val="17"/>
              </w:rPr>
              <w:t xml:space="preserve">Compliance &amp; Governance</w:t>
            </w:r>
          </w:p>
        </w:tc>
        <w:tc>
          <w:tcPr>
            <w:tcW w:type="dxa" w:w="1134"/>
          </w:tcPr>
          <w:p>
            <w:pPr>
              <w:pStyle w:val="Compact"/>
              <w:spacing w:after="40"/>
              <w:jc w:val="left"/>
            </w:pPr>
            <w:r>
              <w:rPr>
                <w:bCs/>
                <w:rFonts w:ascii="Arial" w:hAnsi="Arial"/>
                <w:b/>
                <w:sz w:val="17"/>
              </w:rPr>
              <w:t xml:space="preserve">YES</w:t>
            </w:r>
            <w:r>
              <w:rPr>
                <w:rFonts w:ascii="Arial" w:hAnsi="Arial"/>
                <w:sz w:val="17"/>
              </w:rPr>
              <w:t xml:space="preserve"> </w:t>
            </w:r>
            <w:r>
              <w:rPr>
                <w:rFonts w:ascii="Arial" w:hAnsi="Arial"/>
                <w:sz w:val="17"/>
              </w:rPr>
              <w:t xml:space="preserve">(with wording limits)</w:t>
            </w:r>
          </w:p>
        </w:tc>
        <w:tc>
          <w:tcPr>
            <w:tcW w:type="dxa" w:w="3186"/>
          </w:tcPr>
          <w:p>
            <w:pPr>
              <w:pStyle w:val="Compact"/>
              <w:spacing w:after="40"/>
              <w:jc w:val="left"/>
            </w:pPr>
            <w:r>
              <w:rPr>
                <w:iCs/>
                <w:rFonts w:ascii="Arial" w:hAnsi="Arial"/>
                <w:i/>
                <w:sz w:val="17"/>
              </w:rPr>
              <w:t xml:space="preserve">Compliance &amp; governance summary</w:t>
            </w:r>
            <w:r>
              <w:rPr>
                <w:rFonts w:ascii="Arial" w:hAnsi="Arial"/>
                <w:sz w:val="17"/>
              </w:rPr>
              <w:t xml:space="preserve">: obligations OB-01..OB-16, control matrix, system card, model card, AI-system register</w:t>
            </w:r>
          </w:p>
        </w:tc>
        <w:tc>
          <w:tcPr>
            <w:tcW w:type="dxa" w:w="3186"/>
          </w:tcPr>
          <w:p>
            <w:pPr>
              <w:pStyle w:val="Compact"/>
              <w:spacing w:after="40"/>
              <w:jc w:val="left"/>
            </w:pPr>
            <w:r>
              <w:rPr>
                <w:rStyle w:val="VerbatimChar"/>
                <w:rFonts w:ascii="Arial" w:hAnsi="Arial"/>
                <w:sz w:val="17"/>
              </w:rPr>
              <w:t xml:space="preserve">docs/25-governance/*</w:t>
            </w:r>
          </w:p>
        </w:tc>
        <w:tc>
          <w:tcPr>
            <w:tcW w:type="dxa" w:w="3186"/>
          </w:tcPr>
          <w:p>
            <w:pPr>
              <w:pStyle w:val="Compact"/>
              <w:spacing w:after="40"/>
              <w:jc w:val="left"/>
            </w:pPr>
            <w:r>
              <w:rPr>
                <w:rFonts w:ascii="Arial" w:hAnsi="Arial"/>
                <w:sz w:val="17"/>
              </w:rPr>
              <w:t xml:space="preserve">You decided "Part 11</w:t>
            </w:r>
            <w:r>
              <w:rPr>
                <w:rFonts w:ascii="Arial" w:hAnsi="Arial"/>
                <w:sz w:val="17"/>
              </w:rPr>
              <w:t xml:space="preserve"> </w:t>
            </w:r>
            <w:r>
              <w:rPr>
                <w:iCs/>
                <w:rFonts w:ascii="Arial" w:hAnsi="Arial"/>
                <w:i/>
                <w:sz w:val="17"/>
              </w:rPr>
              <w:t xml:space="preserve">framing</w:t>
            </w:r>
            <w:r>
              <w:rPr>
                <w:rFonts w:ascii="Arial" w:hAnsi="Arial"/>
                <w:sz w:val="17"/>
              </w:rPr>
              <w:t xml:space="preserve"> </w:t>
            </w:r>
            <w:r>
              <w:rPr>
                <w:rFonts w:ascii="Arial" w:hAnsi="Arial"/>
                <w:sz w:val="17"/>
              </w:rPr>
              <w:t xml:space="preserve">only, no 'compliant' claims" (OD-30). Retention is hold-all; privacy regime not assessed</w:t>
            </w:r>
          </w:p>
        </w:tc>
        <w:tc>
          <w:tcPr>
            <w:tcW w:type="dxa" w:w="2064"/>
          </w:tcPr>
          <w:p>
            <w:pPr>
              <w:pStyle w:val="Compact"/>
              <w:spacing w:after="40"/>
              <w:jc w:val="left"/>
            </w:pPr>
            <w:r>
              <w:rPr>
                <w:rFonts w:ascii="Arial" w:hAnsi="Arial"/>
                <w:sz w:val="17"/>
              </w:rPr>
              <w:t xml:space="preserve">none</w:t>
            </w:r>
          </w:p>
        </w:tc>
      </w:tr>
      <w:tr>
        <w:trPr>
          <w:cantSplit/>
        </w:trPr>
        <w:tc>
          <w:tcPr>
            <w:tcW w:type="dxa" w:w="1134"/>
          </w:tcPr>
          <w:p>
            <w:pPr>
              <w:pStyle w:val="Compact"/>
              <w:spacing w:after="40"/>
              <w:jc w:val="left"/>
            </w:pPr>
            <w:r>
              <w:rPr>
                <w:rFonts w:ascii="Arial" w:hAnsi="Arial"/>
                <w:sz w:val="17"/>
              </w:rPr>
              <w:t xml:space="preserve">13</w:t>
            </w:r>
          </w:p>
        </w:tc>
        <w:tc>
          <w:tcPr>
            <w:tcW w:type="dxa" w:w="1134"/>
          </w:tcPr>
          <w:p>
            <w:pPr>
              <w:pStyle w:val="Compact"/>
              <w:spacing w:after="40"/>
              <w:jc w:val="left"/>
            </w:pPr>
            <w:r>
              <w:rPr>
                <w:rFonts w:ascii="Arial" w:hAnsi="Arial"/>
                <w:sz w:val="17"/>
              </w:rPr>
              <w:t xml:space="preserve">Production Engineering</w:t>
            </w:r>
          </w:p>
        </w:tc>
        <w:tc>
          <w:tcPr>
            <w:tcW w:type="dxa" w:w="1134"/>
          </w:tcPr>
          <w:p>
            <w:pPr>
              <w:pStyle w:val="Compact"/>
              <w:spacing w:after="40"/>
              <w:jc w:val="left"/>
            </w:pPr>
            <w:r>
              <w:rPr>
                <w:bCs/>
                <w:rFonts w:ascii="Arial" w:hAnsi="Arial"/>
                <w:b/>
                <w:sz w:val="17"/>
              </w:rPr>
              <w:t xml:space="preserve">PARTIAL</w:t>
            </w:r>
          </w:p>
        </w:tc>
        <w:tc>
          <w:tcPr>
            <w:tcW w:type="dxa" w:w="3186"/>
          </w:tcPr>
          <w:p>
            <w:pPr>
              <w:pStyle w:val="Compact"/>
              <w:spacing w:after="40"/>
              <w:jc w:val="left"/>
            </w:pPr>
            <w:r>
              <w:rPr>
                <w:iCs/>
                <w:rFonts w:ascii="Arial" w:hAnsi="Arial"/>
                <w:i/>
                <w:sz w:val="17"/>
              </w:rPr>
              <w:t xml:space="preserve">Built-vs-wired readiness matrix</w:t>
            </w:r>
            <w:r>
              <w:rPr>
                <w:rFonts w:ascii="Arial" w:hAnsi="Arial"/>
                <w:sz w:val="17"/>
              </w:rPr>
              <w:t xml:space="preserve"> </w:t>
            </w:r>
            <w:r>
              <w:rPr>
                <w:rFonts w:ascii="Arial" w:hAnsi="Arial"/>
                <w:sz w:val="17"/>
              </w:rPr>
              <w:t xml:space="preserve">(observability, resilience, rollback, performance, scalability, ops readiness)</w:t>
            </w:r>
          </w:p>
        </w:tc>
        <w:tc>
          <w:tcPr>
            <w:tcW w:type="dxa" w:w="3186"/>
          </w:tcPr>
          <w:p>
            <w:pPr>
              <w:pStyle w:val="Compact"/>
              <w:spacing w:after="40"/>
              <w:jc w:val="left"/>
            </w:pPr>
            <w:r>
              <w:rPr>
                <w:rFonts w:ascii="Arial" w:hAnsi="Arial"/>
                <w:sz w:val="17"/>
              </w:rPr>
              <w:t xml:space="preserve">Stages 27–31: runbook, SLO candidates (5), failure injection, backup/restore + rollback rehearsal, RTO/RPO targets</w:t>
            </w:r>
          </w:p>
        </w:tc>
        <w:tc>
          <w:tcPr>
            <w:tcW w:type="dxa" w:w="3186"/>
          </w:tcPr>
          <w:p>
            <w:pPr>
              <w:pStyle w:val="Compact"/>
              <w:spacing w:after="40"/>
              <w:jc w:val="left"/>
            </w:pPr>
            <w:r>
              <w:rPr>
                <w:rFonts w:ascii="Arial" w:hAnsi="Arial"/>
                <w:sz w:val="17"/>
              </w:rPr>
              <w:t xml:space="preserve">Resilience, observability exports, release evaluator, CI file exist but are</w:t>
            </w:r>
            <w:r>
              <w:rPr>
                <w:rFonts w:ascii="Arial" w:hAnsi="Arial"/>
                <w:sz w:val="17"/>
              </w:rPr>
              <w:t xml:space="preserve"> </w:t>
            </w:r>
            <w:r>
              <w:rPr>
                <w:bCs/>
                <w:rFonts w:ascii="Arial" w:hAnsi="Arial"/>
                <w:b/>
                <w:sz w:val="17"/>
              </w:rPr>
              <w:t xml:space="preserve">not wired/installed</w:t>
            </w:r>
            <w:r>
              <w:rPr>
                <w:rFonts w:ascii="Arial" w:hAnsi="Arial"/>
                <w:sz w:val="17"/>
              </w:rPr>
              <w:t xml:space="preserve">; no deployed environment; 24 of 38 readiness checks met</w:t>
            </w:r>
          </w:p>
        </w:tc>
        <w:tc>
          <w:tcPr>
            <w:tcW w:type="dxa" w:w="2064"/>
          </w:tcPr>
          <w:p>
            <w:pPr>
              <w:pStyle w:val="Compact"/>
              <w:spacing w:after="40"/>
              <w:jc w:val="left"/>
            </w:pPr>
            <w:r>
              <w:rPr>
                <w:rFonts w:ascii="Arial" w:hAnsi="Arial"/>
                <w:sz w:val="17"/>
              </w:rPr>
              <w:t xml:space="preserve">Decide whether to wire them before the demo</w:t>
            </w:r>
          </w:p>
        </w:tc>
      </w:tr>
      <w:tr>
        <w:trPr>
          <w:cantSplit/>
        </w:trPr>
        <w:tc>
          <w:tcPr>
            <w:tcW w:type="dxa" w:w="1134"/>
          </w:tcPr>
          <w:p>
            <w:pPr>
              <w:pStyle w:val="Compact"/>
              <w:spacing w:after="40"/>
              <w:jc w:val="left"/>
            </w:pPr>
            <w:r>
              <w:rPr>
                <w:rFonts w:ascii="Arial" w:hAnsi="Arial"/>
                <w:sz w:val="17"/>
              </w:rPr>
              <w:t xml:space="preserve">14</w:t>
            </w:r>
          </w:p>
        </w:tc>
        <w:tc>
          <w:tcPr>
            <w:tcW w:type="dxa" w:w="1134"/>
          </w:tcPr>
          <w:p>
            <w:pPr>
              <w:pStyle w:val="Compact"/>
              <w:spacing w:after="40"/>
              <w:jc w:val="left"/>
            </w:pPr>
            <w:r>
              <w:rPr>
                <w:rFonts w:ascii="Arial" w:hAnsi="Arial"/>
                <w:sz w:val="17"/>
              </w:rPr>
              <w:t xml:space="preserve">Evidence-Based Comparison</w:t>
            </w:r>
          </w:p>
        </w:tc>
        <w:tc>
          <w:tcPr>
            <w:tcW w:type="dxa" w:w="1134"/>
          </w:tcPr>
          <w:p>
            <w:pPr>
              <w:pStyle w:val="Compact"/>
              <w:spacing w:after="40"/>
              <w:jc w:val="left"/>
            </w:pPr>
            <w:r>
              <w:rPr>
                <w:bCs/>
                <w:rFonts w:ascii="Arial" w:hAnsi="Arial"/>
                <w:b/>
                <w:sz w:val="17"/>
              </w:rPr>
              <w:t xml:space="preserve">PARTIAL / LATER</w:t>
            </w:r>
          </w:p>
        </w:tc>
        <w:tc>
          <w:tcPr>
            <w:tcW w:type="dxa" w:w="3186"/>
          </w:tcPr>
          <w:p>
            <w:pPr>
              <w:pStyle w:val="Compact"/>
              <w:spacing w:after="40"/>
              <w:jc w:val="left"/>
            </w:pPr>
            <w:r>
              <w:rPr>
                <w:iCs/>
                <w:rFonts w:ascii="Arial" w:hAnsi="Arial"/>
                <w:i/>
                <w:sz w:val="17"/>
              </w:rPr>
              <w:t xml:space="preserve">Comparison harness design</w:t>
            </w:r>
            <w:r>
              <w:rPr>
                <w:rFonts w:ascii="Arial" w:hAnsi="Arial"/>
                <w:sz w:val="17"/>
              </w:rPr>
              <w:t xml:space="preserve"> </w:t>
            </w:r>
            <w:r>
              <w:rPr>
                <w:rFonts w:ascii="Arial" w:hAnsi="Arial"/>
                <w:sz w:val="17"/>
              </w:rPr>
              <w:t xml:space="preserve">+ scenario set; legacy-vs-hub table from Stage 34/35</w:t>
            </w:r>
          </w:p>
        </w:tc>
        <w:tc>
          <w:tcPr>
            <w:tcW w:type="dxa" w:w="3186"/>
          </w:tcPr>
          <w:p>
            <w:pPr>
              <w:pStyle w:val="Compact"/>
              <w:spacing w:after="40"/>
              <w:jc w:val="left"/>
            </w:pPr>
            <w:r>
              <w:rPr>
                <w:rFonts w:ascii="Arial" w:hAnsi="Arial"/>
                <w:sz w:val="17"/>
              </w:rPr>
              <w:t xml:space="preserve">Identical scenarios exist (FX-BASE125, goldens). Only 3 like-for-like KPI pairs, all "sandbox parity"</w:t>
            </w:r>
          </w:p>
        </w:tc>
        <w:tc>
          <w:tcPr>
            <w:tcW w:type="dxa" w:w="3186"/>
          </w:tcPr>
          <w:p>
            <w:pPr>
              <w:pStyle w:val="Compact"/>
              <w:spacing w:after="40"/>
              <w:jc w:val="left"/>
            </w:pPr>
            <w:r>
              <w:rPr>
                <w:rFonts w:ascii="Arial" w:hAnsi="Arial"/>
                <w:sz w:val="17"/>
              </w:rPr>
              <w:t xml:space="preserve">Needs App B for A-vs-B. ROI not computable; latency has no target; model cost is USD 0 by design. No improvement can be claimed</w:t>
            </w:r>
          </w:p>
        </w:tc>
        <w:tc>
          <w:tcPr>
            <w:tcW w:type="dxa" w:w="2064"/>
          </w:tcPr>
          <w:p>
            <w:pPr>
              <w:pStyle w:val="Compact"/>
              <w:spacing w:after="40"/>
              <w:jc w:val="left"/>
            </w:pPr>
            <w:r>
              <w:rPr>
                <w:rFonts w:ascii="Arial" w:hAnsi="Arial"/>
                <w:sz w:val="17"/>
              </w:rPr>
              <w:t xml:space="preserve">App B (see #4)</w:t>
            </w:r>
          </w:p>
        </w:tc>
      </w:tr>
      <w:tr>
        <w:trPr>
          <w:cantSplit/>
        </w:trPr>
        <w:tc>
          <w:tcPr>
            <w:tcW w:type="dxa" w:w="1134"/>
          </w:tcPr>
          <w:p>
            <w:pPr>
              <w:pStyle w:val="Compact"/>
              <w:spacing w:after="40"/>
              <w:jc w:val="left"/>
            </w:pPr>
            <w:r>
              <w:rPr>
                <w:rFonts w:ascii="Arial" w:hAnsi="Arial"/>
                <w:sz w:val="17"/>
              </w:rPr>
              <w:t xml:space="preserve">15</w:t>
            </w:r>
          </w:p>
        </w:tc>
        <w:tc>
          <w:tcPr>
            <w:tcW w:type="dxa" w:w="1134"/>
          </w:tcPr>
          <w:p>
            <w:pPr>
              <w:pStyle w:val="Compact"/>
              <w:spacing w:after="40"/>
              <w:jc w:val="left"/>
            </w:pPr>
            <w:r>
              <w:rPr>
                <w:rFonts w:ascii="Arial" w:hAnsi="Arial"/>
                <w:sz w:val="17"/>
              </w:rPr>
              <w:t xml:space="preserve">Birlasoft Branding</w:t>
            </w:r>
          </w:p>
        </w:tc>
        <w:tc>
          <w:tcPr>
            <w:tcW w:type="dxa" w:w="1134"/>
          </w:tcPr>
          <w:p>
            <w:pPr>
              <w:pStyle w:val="Compact"/>
              <w:spacing w:after="40"/>
              <w:jc w:val="left"/>
            </w:pPr>
            <w:r>
              <w:rPr>
                <w:bCs/>
                <w:rFonts w:ascii="Arial" w:hAnsi="Arial"/>
                <w:b/>
                <w:sz w:val="17"/>
              </w:rPr>
              <w:t xml:space="preserve">PARTIAL</w:t>
            </w:r>
            <w:r>
              <w:rPr>
                <w:rFonts w:ascii="Arial" w:hAnsi="Arial"/>
                <w:sz w:val="17"/>
              </w:rPr>
              <w:t xml:space="preserve"> </w:t>
            </w:r>
            <w:r>
              <w:rPr>
                <w:rFonts w:ascii="Arial" w:hAnsi="Arial"/>
                <w:sz w:val="17"/>
              </w:rPr>
              <w:t xml:space="preserve">(updated 25 Oct)</w:t>
            </w:r>
          </w:p>
        </w:tc>
        <w:tc>
          <w:tcPr>
            <w:tcW w:type="dxa" w:w="3186"/>
          </w:tcPr>
          <w:p>
            <w:pPr>
              <w:pStyle w:val="Compact"/>
              <w:spacing w:after="40"/>
              <w:jc w:val="left"/>
            </w:pPr>
            <w:r>
              <w:rPr>
                <w:rFonts w:ascii="Arial" w:hAnsi="Arial"/>
                <w:sz w:val="17"/>
              </w:rPr>
              <w:t xml:space="preserve">Deck, Command Centre and diagrams styled from the Birlasoft Annual Report 2024-25 sample (wordmark, red/grey palette, two-line grey + red headings)</w:t>
            </w:r>
          </w:p>
        </w:tc>
        <w:tc>
          <w:tcPr>
            <w:tcW w:type="dxa" w:w="3186"/>
          </w:tcPr>
          <w:p>
            <w:pPr>
              <w:pStyle w:val="Compact"/>
              <w:spacing w:after="40"/>
              <w:jc w:val="left"/>
            </w:pPr>
            <w:r>
              <w:rPr>
                <w:rStyle w:val="VerbatimChar"/>
                <w:rFonts w:ascii="Arial" w:hAnsi="Arial"/>
                <w:sz w:val="17"/>
              </w:rPr>
              <w:t xml:space="preserve">Requried-External-Input/sample-Birlasoft-PPTx.pdf</w:t>
            </w:r>
          </w:p>
        </w:tc>
        <w:tc>
          <w:tcPr>
            <w:tcW w:type="dxa" w:w="3186"/>
          </w:tcPr>
          <w:p>
            <w:pPr>
              <w:pStyle w:val="Compact"/>
              <w:spacing w:after="40"/>
              <w:jc w:val="left"/>
            </w:pPr>
            <w:r>
              <w:rPr>
                <w:rFonts w:ascii="Arial" w:hAnsi="Arial"/>
                <w:sz w:val="17"/>
              </w:rPr>
              <w:t xml:space="preserve">No official .potx template or brand guideline; fonts substituted with Arial (the report uses Locator)</w:t>
            </w:r>
          </w:p>
        </w:tc>
        <w:tc>
          <w:tcPr>
            <w:tcW w:type="dxa" w:w="2064"/>
          </w:tcPr>
          <w:p>
            <w:pPr>
              <w:pStyle w:val="Compact"/>
              <w:spacing w:after="40"/>
              <w:jc w:val="left"/>
            </w:pPr>
            <w:r>
              <w:rPr>
                <w:rFonts w:ascii="Arial" w:hAnsi="Arial"/>
                <w:sz w:val="17"/>
              </w:rPr>
              <w:t xml:space="preserve">Official template if one exists</w:t>
            </w:r>
          </w:p>
        </w:tc>
      </w:tr>
      <w:tr>
        <w:trPr>
          <w:cantSplit/>
        </w:trPr>
        <w:tc>
          <w:tcPr>
            <w:tcW w:type="dxa" w:w="1134"/>
          </w:tcPr>
          <w:p>
            <w:pPr>
              <w:pStyle w:val="Compact"/>
              <w:spacing w:after="40"/>
              <w:jc w:val="left"/>
            </w:pPr>
            <w:r>
              <w:rPr>
                <w:rFonts w:ascii="Arial" w:hAnsi="Arial"/>
                <w:sz w:val="17"/>
              </w:rPr>
              <w:t xml:space="preserve">16</w:t>
            </w:r>
          </w:p>
        </w:tc>
        <w:tc>
          <w:tcPr>
            <w:tcW w:type="dxa" w:w="1134"/>
          </w:tcPr>
          <w:p>
            <w:pPr>
              <w:pStyle w:val="Compact"/>
              <w:spacing w:after="40"/>
              <w:jc w:val="left"/>
            </w:pPr>
            <w:r>
              <w:rPr>
                <w:rFonts w:ascii="Arial" w:hAnsi="Arial"/>
                <w:sz w:val="17"/>
              </w:rPr>
              <w:t xml:space="preserve">Board-Level Presentation</w:t>
            </w:r>
          </w:p>
        </w:tc>
        <w:tc>
          <w:tcPr>
            <w:tcW w:type="dxa" w:w="1134"/>
          </w:tcPr>
          <w:p>
            <w:pPr>
              <w:pStyle w:val="Compact"/>
              <w:spacing w:after="40"/>
              <w:jc w:val="left"/>
            </w:pPr>
            <w:r>
              <w:rPr>
                <w:bCs/>
                <w:rFonts w:ascii="Arial" w:hAnsi="Arial"/>
                <w:b/>
                <w:sz w:val="17"/>
              </w:rPr>
              <w:t xml:space="preserve">YES</w:t>
            </w:r>
            <w:r>
              <w:rPr>
                <w:rFonts w:ascii="Arial" w:hAnsi="Arial"/>
                <w:sz w:val="17"/>
              </w:rPr>
              <w:t xml:space="preserve"> </w:t>
            </w:r>
            <w:r>
              <w:rPr>
                <w:rFonts w:ascii="Arial" w:hAnsi="Arial"/>
                <w:sz w:val="17"/>
              </w:rPr>
              <w:t xml:space="preserve">(updated 25 Oct)</w:t>
            </w:r>
          </w:p>
        </w:tc>
        <w:tc>
          <w:tcPr>
            <w:tcW w:type="dxa" w:w="3186"/>
          </w:tcPr>
          <w:p>
            <w:pPr>
              <w:pStyle w:val="Compact"/>
              <w:spacing w:after="40"/>
              <w:jc w:val="left"/>
            </w:pPr>
            <w:r>
              <w:rPr>
                <w:rStyle w:val="VerbatimChar"/>
                <w:rFonts w:ascii="Arial" w:hAnsi="Arial"/>
                <w:sz w:val="17"/>
              </w:rPr>
              <w:t xml:space="preserve">05_CTO_Presentation/GxP_Quality_Hub_CTO_Presentation.pptx</w:t>
            </w:r>
            <w:r>
              <w:rPr>
                <w:rFonts w:ascii="Arial" w:hAnsi="Arial"/>
                <w:sz w:val="17"/>
              </w:rPr>
              <w:t xml:space="preserve">: 31 slides with speaker notes (Team Delta on the title slide; before/now architecture, hub module map and engineering comparison slides), CTO audience, 3W + How, problem → solution → functional flow → technical implementation → evidence → value → lessons → moonshots</w:t>
            </w:r>
          </w:p>
        </w:tc>
        <w:tc>
          <w:tcPr>
            <w:tcW w:type="dxa" w:w="3186"/>
          </w:tcPr>
          <w:p>
            <w:pPr>
              <w:pStyle w:val="Compact"/>
              <w:spacing w:after="40"/>
              <w:jc w:val="left"/>
            </w:pPr>
            <w:r>
              <w:rPr>
                <w:rFonts w:ascii="Arial" w:hAnsi="Arial"/>
                <w:sz w:val="17"/>
              </w:rPr>
              <w:t xml:space="preserve">Stage 42 content, Command Centre screenshots, input brief</w:t>
            </w:r>
            <w:r>
              <w:rPr>
                <w:rFonts w:ascii="Arial" w:hAnsi="Arial"/>
                <w:sz w:val="17"/>
              </w:rPr>
              <w:t xml:space="preserve"> </w:t>
            </w:r>
            <w:r>
              <w:rPr>
                <w:rStyle w:val="VerbatimChar"/>
                <w:rFonts w:ascii="Arial" w:hAnsi="Arial"/>
                <w:sz w:val="17"/>
              </w:rPr>
              <w:t xml:space="preserve">Input-for-PresentationsDeck.txt</w:t>
            </w:r>
          </w:p>
        </w:tc>
        <w:tc>
          <w:tcPr>
            <w:tcW w:type="dxa" w:w="3186"/>
          </w:tcPr>
          <w:p>
            <w:pPr>
              <w:pStyle w:val="Compact"/>
              <w:spacing w:after="40"/>
              <w:jc w:val="left"/>
            </w:pPr>
            <w:r>
              <w:rPr>
                <w:rFonts w:ascii="Arial" w:hAnsi="Arial"/>
                <w:sz w:val="17"/>
              </w:rPr>
              <w:t xml:space="preserve">Value slides state 'not computable' where true</w:t>
            </w:r>
          </w:p>
        </w:tc>
        <w:tc>
          <w:tcPr>
            <w:tcW w:type="dxa" w:w="2064"/>
          </w:tcPr>
          <w:p>
            <w:pPr>
              <w:pStyle w:val="Compact"/>
              <w:spacing w:after="40"/>
              <w:jc w:val="left"/>
            </w:pPr>
            <w:r>
              <w:rPr>
                <w:rFonts w:ascii="Arial" w:hAnsi="Arial"/>
                <w:sz w:val="17"/>
              </w:rPr>
              <w:t xml:space="preserve">Rehearse timing (about 1.5 min per slide)</w:t>
            </w:r>
          </w:p>
        </w:tc>
      </w:tr>
      <w:tr>
        <w:trPr>
          <w:cantSplit/>
        </w:trPr>
        <w:tc>
          <w:tcPr>
            <w:tcW w:type="dxa" w:w="1134"/>
          </w:tcPr>
          <w:p>
            <w:pPr>
              <w:pStyle w:val="Compact"/>
              <w:spacing w:after="40"/>
              <w:jc w:val="left"/>
            </w:pPr>
            <w:r>
              <w:rPr>
                <w:rFonts w:ascii="Arial" w:hAnsi="Arial"/>
                <w:sz w:val="17"/>
              </w:rPr>
              <w:t xml:space="preserve">17</w:t>
            </w:r>
          </w:p>
        </w:tc>
        <w:tc>
          <w:tcPr>
            <w:tcW w:type="dxa" w:w="1134"/>
          </w:tcPr>
          <w:p>
            <w:pPr>
              <w:pStyle w:val="Compact"/>
              <w:spacing w:after="40"/>
              <w:jc w:val="left"/>
            </w:pPr>
            <w:r>
              <w:rPr>
                <w:rFonts w:ascii="Arial" w:hAnsi="Arial"/>
                <w:sz w:val="17"/>
              </w:rPr>
              <w:t xml:space="preserve">Live End-to-End Demonstration</w:t>
            </w:r>
          </w:p>
        </w:tc>
        <w:tc>
          <w:tcPr>
            <w:tcW w:type="dxa" w:w="1134"/>
          </w:tcPr>
          <w:p>
            <w:pPr>
              <w:pStyle w:val="Compact"/>
              <w:spacing w:after="40"/>
              <w:jc w:val="left"/>
            </w:pPr>
            <w:r>
              <w:rPr>
                <w:bCs/>
                <w:rFonts w:ascii="Arial" w:hAnsi="Arial"/>
                <w:b/>
                <w:sz w:val="17"/>
              </w:rPr>
              <w:t xml:space="preserve">YES</w:t>
            </w:r>
            <w:r>
              <w:rPr>
                <w:rFonts w:ascii="Arial" w:hAnsi="Arial"/>
                <w:sz w:val="17"/>
              </w:rPr>
              <w:t xml:space="preserve"> </w:t>
            </w:r>
            <w:r>
              <w:rPr>
                <w:rFonts w:ascii="Arial" w:hAnsi="Arial"/>
                <w:sz w:val="17"/>
              </w:rPr>
              <w:t xml:space="preserve">(updated 25 Oct)</w:t>
            </w:r>
          </w:p>
        </w:tc>
        <w:tc>
          <w:tcPr>
            <w:tcW w:type="dxa" w:w="3186"/>
          </w:tcPr>
          <w:p>
            <w:pPr>
              <w:pStyle w:val="Compact"/>
              <w:spacing w:after="40"/>
              <w:jc w:val="left"/>
            </w:pPr>
            <w:r>
              <w:rPr>
                <w:rFonts w:ascii="Arial" w:hAnsi="Arial"/>
                <w:sz w:val="17"/>
              </w:rPr>
              <w:t xml:space="preserve">Command Centre live demo on the local machine with</w:t>
            </w:r>
            <w:r>
              <w:rPr>
                <w:rFonts w:ascii="Arial" w:hAnsi="Arial"/>
                <w:sz w:val="17"/>
              </w:rPr>
              <w:t xml:space="preserve"> </w:t>
            </w:r>
            <w:r>
              <w:rPr>
                <w:bCs/>
                <w:rFonts w:ascii="Arial" w:hAnsi="Arial"/>
                <w:b/>
                <w:sz w:val="17"/>
              </w:rPr>
              <w:t xml:space="preserve">Python 3.14</w:t>
            </w:r>
            <w:r>
              <w:rPr>
                <w:rFonts w:ascii="Arial" w:hAnsi="Arial"/>
                <w:sz w:val="17"/>
              </w:rPr>
              <w:t xml:space="preserve"> </w:t>
            </w:r>
            <w:r>
              <w:rPr>
                <w:rFonts w:ascii="Arial" w:hAnsi="Arial"/>
                <w:sz w:val="17"/>
              </w:rPr>
              <w:t xml:space="preserve">(</w:t>
            </w:r>
            <w:r>
              <w:rPr>
                <w:rStyle w:val="VerbatimChar"/>
                <w:rFonts w:ascii="Arial" w:hAnsi="Arial"/>
                <w:sz w:val="17"/>
              </w:rPr>
              <w:t xml:space="preserve">start-windows.bat</w:t>
            </w:r>
            <w:r>
              <w:rPr>
                <w:rFonts w:ascii="Arial" w:hAnsi="Arial"/>
                <w:sz w:val="17"/>
              </w:rPr>
              <w:t xml:space="preserve"> </w:t>
            </w:r>
            <w:r>
              <w:rPr>
                <w:rFonts w:ascii="Arial" w:hAnsi="Arial"/>
                <w:sz w:val="17"/>
              </w:rPr>
              <w:t xml:space="preserve">or</w:t>
            </w:r>
            <w:r>
              <w:rPr>
                <w:rFonts w:ascii="Arial" w:hAnsi="Arial"/>
                <w:sz w:val="17"/>
              </w:rPr>
              <w:t xml:space="preserve"> </w:t>
            </w:r>
            <w:r>
              <w:rPr>
                <w:rStyle w:val="VerbatimChar"/>
                <w:rFonts w:ascii="Arial" w:hAnsi="Arial"/>
                <w:sz w:val="17"/>
              </w:rPr>
              <w:t xml:space="preserve">py -3.14 run.py</w:t>
            </w:r>
            <w:r>
              <w:rPr>
                <w:rFonts w:ascii="Arial" w:hAnsi="Arial"/>
                <w:sz w:val="17"/>
              </w:rPr>
              <w:t xml:space="preserve">); 8-minute demo path in its README; deck slides 18–21 are the recorded fallback</w:t>
            </w:r>
          </w:p>
        </w:tc>
        <w:tc>
          <w:tcPr>
            <w:tcW w:type="dxa" w:w="3186"/>
          </w:tcPr>
          <w:p>
            <w:pPr>
              <w:pStyle w:val="Compact"/>
              <w:spacing w:after="40"/>
              <w:jc w:val="left"/>
            </w:pPr>
            <w:r>
              <w:rPr>
                <w:rFonts w:ascii="Arial" w:hAnsi="Arial"/>
                <w:sz w:val="17"/>
              </w:rPr>
              <w:t xml:space="preserve">Tested on Python 3.14.6 and 3.10.12; 15 app tests pass; reproduces 89/125, 742,956.61 vs 622,826.44, 8,335 queue items, replay Δ 0</w:t>
            </w:r>
          </w:p>
        </w:tc>
        <w:tc>
          <w:tcPr>
            <w:tcW w:type="dxa" w:w="3186"/>
          </w:tcPr>
          <w:p>
            <w:pPr>
              <w:pStyle w:val="Compact"/>
              <w:spacing w:after="40"/>
              <w:jc w:val="left"/>
            </w:pPr>
            <w:r>
              <w:rPr>
                <w:rFonts w:ascii="Arial" w:hAnsi="Arial"/>
                <w:sz w:val="17"/>
              </w:rPr>
              <w:t xml:space="preserve">The hub's own test suite has not been re-run on 3.14 (goldens were recorded on 3.10, LL-18)</w:t>
            </w:r>
          </w:p>
        </w:tc>
        <w:tc>
          <w:tcPr>
            <w:tcW w:type="dxa" w:w="2064"/>
          </w:tcPr>
          <w:p>
            <w:pPr>
              <w:pStyle w:val="Compact"/>
              <w:spacing w:after="40"/>
              <w:jc w:val="left"/>
            </w:pPr>
            <w:r>
              <w:rPr>
                <w:rFonts w:ascii="Arial" w:hAnsi="Arial"/>
                <w:sz w:val="17"/>
              </w:rPr>
              <w:t xml:space="preserve">Optional: set OPENAI_API_KEY to show model mode</w:t>
            </w:r>
          </w:p>
        </w:tc>
      </w:tr>
      <w:tr>
        <w:trPr>
          <w:cantSplit/>
        </w:trPr>
        <w:tc>
          <w:tcPr>
            <w:tcW w:type="dxa" w:w="1134"/>
          </w:tcPr>
          <w:p>
            <w:pPr>
              <w:pStyle w:val="Compact"/>
              <w:spacing w:after="40"/>
              <w:jc w:val="left"/>
            </w:pPr>
            <w:r>
              <w:rPr>
                <w:rFonts w:ascii="Arial" w:hAnsi="Arial"/>
                <w:sz w:val="17"/>
              </w:rPr>
              <w:t xml:space="preserve">18</w:t>
            </w:r>
          </w:p>
        </w:tc>
        <w:tc>
          <w:tcPr>
            <w:tcW w:type="dxa" w:w="1134"/>
          </w:tcPr>
          <w:p>
            <w:pPr>
              <w:pStyle w:val="Compact"/>
              <w:spacing w:after="40"/>
              <w:jc w:val="left"/>
            </w:pPr>
            <w:r>
              <w:rPr>
                <w:rFonts w:ascii="Arial" w:hAnsi="Arial"/>
                <w:sz w:val="17"/>
              </w:rPr>
              <w:t xml:space="preserve">Engineering Evidence &amp; Traceability</w:t>
            </w:r>
          </w:p>
        </w:tc>
        <w:tc>
          <w:tcPr>
            <w:tcW w:type="dxa" w:w="1134"/>
          </w:tcPr>
          <w:p>
            <w:pPr>
              <w:pStyle w:val="Compact"/>
              <w:spacing w:after="40"/>
              <w:jc w:val="left"/>
            </w:pPr>
            <w:r>
              <w:rPr>
                <w:bCs/>
                <w:rFonts w:ascii="Arial" w:hAnsi="Arial"/>
                <w:b/>
                <w:sz w:val="17"/>
              </w:rPr>
              <w:t xml:space="preserve">YES</w:t>
            </w:r>
          </w:p>
        </w:tc>
        <w:tc>
          <w:tcPr>
            <w:tcW w:type="dxa" w:w="3186"/>
          </w:tcPr>
          <w:p>
            <w:pPr>
              <w:pStyle w:val="Compact"/>
              <w:spacing w:after="40"/>
              <w:jc w:val="left"/>
            </w:pPr>
            <w:r>
              <w:rPr>
                <w:iCs/>
                <w:rFonts w:ascii="Arial" w:hAnsi="Arial"/>
                <w:i/>
                <w:sz w:val="17"/>
              </w:rPr>
              <w:t xml:space="preserve">Evidence index</w:t>
            </w:r>
            <w:r>
              <w:rPr>
                <w:rFonts w:ascii="Arial" w:hAnsi="Arial"/>
                <w:sz w:val="17"/>
              </w:rPr>
              <w:t xml:space="preserve">: claim → artifact → test/log → hash</w:t>
            </w:r>
          </w:p>
        </w:tc>
        <w:tc>
          <w:tcPr>
            <w:tcW w:type="dxa" w:w="3186"/>
          </w:tcPr>
          <w:p>
            <w:pPr>
              <w:pStyle w:val="Compact"/>
              <w:spacing w:after="40"/>
              <w:jc w:val="left"/>
            </w:pPr>
            <w:r>
              <w:rPr>
                <w:rFonts w:ascii="Arial" w:hAnsi="Arial"/>
                <w:sz w:val="17"/>
              </w:rPr>
              <w:t xml:space="preserve">Claims register C-01..C-34, RTM (docs/13), SHA256SUMS per stage, golden manifests</w:t>
            </w:r>
          </w:p>
        </w:tc>
        <w:tc>
          <w:tcPr>
            <w:tcW w:type="dxa" w:w="3186"/>
          </w:tcPr>
          <w:p>
            <w:pPr>
              <w:pStyle w:val="Compact"/>
              <w:spacing w:after="40"/>
              <w:jc w:val="left"/>
            </w:pPr>
            <w:r>
              <w:rPr>
                <w:rFonts w:ascii="Arial" w:hAnsi="Arial"/>
                <w:sz w:val="17"/>
              </w:rPr>
              <w:t xml:space="preserve">Human sign-offs are all open</w:t>
            </w:r>
          </w:p>
        </w:tc>
        <w:tc>
          <w:tcPr>
            <w:tcW w:type="dxa" w:w="2064"/>
          </w:tcPr>
          <w:p>
            <w:pPr>
              <w:pStyle w:val="Compact"/>
              <w:spacing w:after="40"/>
              <w:jc w:val="left"/>
            </w:pPr>
            <w:r>
              <w:rPr>
                <w:rFonts w:ascii="Arial" w:hAnsi="Arial"/>
                <w:sz w:val="17"/>
              </w:rPr>
              <w:t xml:space="preserve">none</w:t>
            </w:r>
          </w:p>
        </w:tc>
      </w:tr>
    </w:tbl>
    <w:p>
      <w:r>
        <w:pict>
          <v:rect style="width:0;height:1.5pt" o:hralign="center" o:hrstd="t" o:hr="t"/>
        </w:pict>
      </w:r>
    </w:p>
    <w:bookmarkEnd w:id="22"/>
    <w:bookmarkStart w:id="23" w:name="X9a0790e3415a2c81e16f9402fe87dd82ab0d219"/>
    <w:p>
      <w:pPr>
        <w:pStyle w:val="Heading2"/>
      </w:pPr>
      <w:r>
        <w:t xml:space="preserve">4. Section B — Final Presentation &amp; Executive Defence (#19–#28)</w:t>
      </w:r>
    </w:p>
    <w:tbl>
      <w:tblPr>
        <w:tblStyle w:val="Table"/>
        <w:tblLayout w:type="fixed"/>
        <w:tblLook w:firstRow="1" w:lastRow="0" w:firstColumn="0" w:lastColumn="0" w:noHBand="0" w:noVBand="0" w:val="0020"/>
        <w:jc w:val="start"/>
        <w:tblBorders>
          <w:top w:val="single" w:sz="4" w:color="BFBFBF"/>
          <w:left w:val="single" w:sz="4" w:color="BFBFBF"/>
          <w:bottom w:val="single" w:sz="4" w:color="BFBFBF"/>
          <w:right w:val="single" w:sz="4" w:color="BFBFBF"/>
          <w:insideH w:val="single" w:sz="4" w:color="BFBFBF"/>
          <w:insideV w:val="single" w:sz="4" w:color="BFBFBF"/>
        </w:tblBorders>
        <w:tblW w:w="15023" w:type="dxa"/>
        <w:tblLayout w:type="fixed"/>
      </w:tblPr>
      <w:tblGrid>
        <w:gridCol w:w="1133"/>
        <w:gridCol w:w="1081"/>
        <w:gridCol w:w="1133"/>
        <w:gridCol w:w="3416"/>
        <w:gridCol w:w="3365"/>
        <w:gridCol w:w="3416"/>
        <w:gridCol w:w="1475"/>
      </w:tblGrid>
      <w:tr>
        <w:trPr>
          <w:tblHeader w:val="true"/>
          <w:tblHeader/>
          <w:cantSplit/>
        </w:trPr>
        <w:tc>
          <w:tcPr>
            <w:tcW w:type="dxa" w:w="1134"/>
            <w:shd w:val="clear" w:color="auto" w:fill="4A4A4A"/>
          </w:tcPr>
          <w:p>
            <w:pPr>
              <w:pStyle w:val="Compact"/>
              <w:spacing w:after="40"/>
              <w:jc w:val="left"/>
            </w:pPr>
            <w:r>
              <w:rPr>
                <w:rFonts w:ascii="Arial" w:hAnsi="Arial"/>
                <w:b/>
                <w:color w:val="FFFFFF"/>
                <w:sz w:val="17"/>
              </w:rPr>
              <w:t xml:space="preserve">#</w:t>
            </w:r>
          </w:p>
        </w:tc>
        <w:tc>
          <w:tcPr>
            <w:tcW w:type="dxa" w:w="1082"/>
            <w:shd w:val="clear" w:color="auto" w:fill="4A4A4A"/>
          </w:tcPr>
          <w:p>
            <w:pPr>
              <w:pStyle w:val="Compact"/>
              <w:spacing w:after="40"/>
              <w:jc w:val="left"/>
            </w:pPr>
            <w:r>
              <w:rPr>
                <w:rFonts w:ascii="Arial" w:hAnsi="Arial"/>
                <w:b/>
                <w:color w:val="FFFFFF"/>
                <w:sz w:val="17"/>
              </w:rPr>
              <w:t xml:space="preserve">Guideline</w:t>
            </w:r>
          </w:p>
        </w:tc>
        <w:tc>
          <w:tcPr>
            <w:tcW w:type="dxa" w:w="1134"/>
            <w:shd w:val="clear" w:color="auto" w:fill="4A4A4A"/>
          </w:tcPr>
          <w:p>
            <w:pPr>
              <w:pStyle w:val="Compact"/>
              <w:spacing w:after="40"/>
              <w:jc w:val="left"/>
            </w:pPr>
            <w:r>
              <w:rPr>
                <w:rFonts w:ascii="Arial" w:hAnsi="Arial"/>
                <w:b/>
                <w:color w:val="FFFFFF"/>
                <w:sz w:val="17"/>
              </w:rPr>
              <w:t xml:space="preserve">Verdict</w:t>
            </w:r>
          </w:p>
        </w:tc>
        <w:tc>
          <w:tcPr>
            <w:tcW w:type="dxa" w:w="3417"/>
            <w:shd w:val="clear" w:color="auto" w:fill="4A4A4A"/>
          </w:tcPr>
          <w:p>
            <w:pPr>
              <w:pStyle w:val="Compact"/>
              <w:spacing w:after="40"/>
              <w:jc w:val="left"/>
            </w:pPr>
            <w:r>
              <w:rPr>
                <w:rFonts w:ascii="Arial" w:hAnsi="Arial"/>
                <w:b/>
                <w:color w:val="FFFFFF"/>
                <w:sz w:val="17"/>
              </w:rPr>
              <w:t xml:space="preserve">What I can create</w:t>
            </w:r>
          </w:p>
        </w:tc>
        <w:tc>
          <w:tcPr>
            <w:tcW w:type="dxa" w:w="3365"/>
            <w:shd w:val="clear" w:color="auto" w:fill="4A4A4A"/>
          </w:tcPr>
          <w:p>
            <w:pPr>
              <w:pStyle w:val="Compact"/>
              <w:spacing w:after="40"/>
              <w:jc w:val="left"/>
            </w:pPr>
            <w:r>
              <w:rPr>
                <w:rFonts w:ascii="Arial" w:hAnsi="Arial"/>
                <w:b/>
                <w:color w:val="FFFFFF"/>
                <w:sz w:val="17"/>
              </w:rPr>
              <w:t xml:space="preserve">Already in repo (Stage 42 and earlier)</w:t>
            </w:r>
          </w:p>
        </w:tc>
        <w:tc>
          <w:tcPr>
            <w:tcW w:type="dxa" w:w="3417"/>
            <w:shd w:val="clear" w:color="auto" w:fill="4A4A4A"/>
          </w:tcPr>
          <w:p>
            <w:pPr>
              <w:pStyle w:val="Compact"/>
              <w:spacing w:after="40"/>
              <w:jc w:val="left"/>
            </w:pPr>
            <w:r>
              <w:rPr>
                <w:rFonts w:ascii="Arial" w:hAnsi="Arial"/>
                <w:b/>
                <w:color w:val="FFFFFF"/>
                <w:sz w:val="17"/>
              </w:rPr>
              <w:t xml:space="preserve">Gap / limitation</w:t>
            </w:r>
          </w:p>
        </w:tc>
        <w:tc>
          <w:tcPr>
            <w:tcW w:type="dxa" w:w="1475"/>
            <w:shd w:val="clear" w:color="auto" w:fill="4A4A4A"/>
          </w:tcPr>
          <w:p>
            <w:pPr>
              <w:pStyle w:val="Compact"/>
              <w:spacing w:after="40"/>
              <w:jc w:val="left"/>
            </w:pPr>
            <w:r>
              <w:rPr>
                <w:rFonts w:ascii="Arial" w:hAnsi="Arial"/>
                <w:b/>
                <w:color w:val="FFFFFF"/>
                <w:sz w:val="17"/>
              </w:rPr>
              <w:t xml:space="preserve">Needs from you</w:t>
            </w:r>
          </w:p>
        </w:tc>
      </w:tr>
      <w:tr>
        <w:trPr>
          <w:cantSplit/>
        </w:trPr>
        <w:tc>
          <w:tcPr>
            <w:tcW w:type="dxa" w:w="1134"/>
          </w:tcPr>
          <w:p>
            <w:pPr>
              <w:pStyle w:val="Compact"/>
              <w:spacing w:after="40"/>
              <w:jc w:val="left"/>
            </w:pPr>
            <w:r>
              <w:rPr>
                <w:rFonts w:ascii="Arial" w:hAnsi="Arial"/>
                <w:sz w:val="17"/>
              </w:rPr>
              <w:t xml:space="preserve">19</w:t>
            </w:r>
          </w:p>
        </w:tc>
        <w:tc>
          <w:tcPr>
            <w:tcW w:type="dxa" w:w="1082"/>
          </w:tcPr>
          <w:p>
            <w:pPr>
              <w:pStyle w:val="Compact"/>
              <w:spacing w:after="40"/>
              <w:jc w:val="left"/>
            </w:pPr>
            <w:r>
              <w:rPr>
                <w:rFonts w:ascii="Arial" w:hAnsi="Arial"/>
                <w:sz w:val="17"/>
              </w:rPr>
              <w:t xml:space="preserve">Time-boxed (40 + 10 min)</w:t>
            </w:r>
          </w:p>
        </w:tc>
        <w:tc>
          <w:tcPr>
            <w:tcW w:type="dxa" w:w="1134"/>
          </w:tcPr>
          <w:p>
            <w:pPr>
              <w:pStyle w:val="Compact"/>
              <w:spacing w:after="40"/>
              <w:jc w:val="left"/>
            </w:pPr>
            <w:r>
              <w:rPr>
                <w:bCs/>
                <w:rFonts w:ascii="Arial" w:hAnsi="Arial"/>
                <w:b/>
                <w:sz w:val="17"/>
              </w:rPr>
              <w:t xml:space="preserve">YES</w:t>
            </w:r>
          </w:p>
        </w:tc>
        <w:tc>
          <w:tcPr>
            <w:tcW w:type="dxa" w:w="3417"/>
          </w:tcPr>
          <w:p>
            <w:pPr>
              <w:pStyle w:val="Compact"/>
              <w:spacing w:after="40"/>
              <w:jc w:val="left"/>
            </w:pPr>
            <w:r>
              <w:rPr>
                <w:rFonts w:ascii="Arial" w:hAnsi="Arial"/>
                <w:sz w:val="17"/>
              </w:rPr>
              <w:t xml:space="preserve">Minute-by-minute run-of-show with demo cut-points and Q&amp;A bank</w:t>
            </w:r>
          </w:p>
        </w:tc>
        <w:tc>
          <w:tcPr>
            <w:tcW w:type="dxa" w:w="3365"/>
          </w:tcPr>
          <w:p>
            <w:pPr>
              <w:pStyle w:val="Compact"/>
              <w:spacing w:after="40"/>
              <w:jc w:val="left"/>
            </w:pPr>
            <w:r>
              <w:rPr>
                <w:rStyle w:val="VerbatimChar"/>
                <w:rFonts w:ascii="Arial" w:hAnsi="Arial"/>
                <w:sz w:val="17"/>
              </w:rPr>
              <w:t xml:space="preserve">demo-day-script.md</w:t>
            </w:r>
            <w:r>
              <w:rPr>
                <w:rFonts w:ascii="Arial" w:hAnsi="Arial"/>
                <w:sz w:val="17"/>
              </w:rPr>
              <w:t xml:space="preserve"> </w:t>
            </w:r>
            <w:r>
              <w:rPr>
                <w:rFonts w:ascii="Arial" w:hAnsi="Arial"/>
                <w:sz w:val="17"/>
              </w:rPr>
              <w:t xml:space="preserve">(15–20 min) to extend to 40</w:t>
            </w:r>
          </w:p>
        </w:tc>
        <w:tc>
          <w:tcPr>
            <w:tcW w:type="dxa" w:w="3417"/>
          </w:tcPr>
          <w:p>
            <w:pPr>
              <w:pStyle w:val="Compact"/>
              <w:spacing w:after="40"/>
              <w:jc w:val="left"/>
            </w:pPr>
            <w:r>
              <w:rPr>
                <w:rFonts w:ascii="Arial" w:hAnsi="Arial"/>
                <w:sz w:val="17"/>
              </w:rPr>
              <w:t xml:space="preserve">Needs the second app for a full 40 min</w:t>
            </w:r>
          </w:p>
        </w:tc>
        <w:tc>
          <w:tcPr>
            <w:tcW w:type="dxa" w:w="1475"/>
          </w:tcPr>
          <w:p>
            <w:pPr>
              <w:pStyle w:val="Compact"/>
              <w:spacing w:after="40"/>
              <w:jc w:val="left"/>
            </w:pPr>
            <w:r>
              <w:rPr>
                <w:rFonts w:ascii="Arial" w:hAnsi="Arial"/>
                <w:sz w:val="17"/>
              </w:rPr>
              <w:t xml:space="preserve">Confirm demo order</w:t>
            </w:r>
          </w:p>
        </w:tc>
      </w:tr>
      <w:tr>
        <w:trPr>
          <w:cantSplit/>
        </w:trPr>
        <w:tc>
          <w:tcPr>
            <w:tcW w:type="dxa" w:w="1134"/>
          </w:tcPr>
          <w:p>
            <w:pPr>
              <w:pStyle w:val="Compact"/>
              <w:spacing w:after="40"/>
              <w:jc w:val="left"/>
            </w:pPr>
            <w:r>
              <w:rPr>
                <w:rFonts w:ascii="Arial" w:hAnsi="Arial"/>
                <w:sz w:val="17"/>
              </w:rPr>
              <w:t xml:space="preserve">20</w:t>
            </w:r>
          </w:p>
        </w:tc>
        <w:tc>
          <w:tcPr>
            <w:tcW w:type="dxa" w:w="1082"/>
          </w:tcPr>
          <w:p>
            <w:pPr>
              <w:pStyle w:val="Compact"/>
              <w:spacing w:after="40"/>
              <w:jc w:val="left"/>
            </w:pPr>
            <w:r>
              <w:rPr>
                <w:rFonts w:ascii="Arial" w:hAnsi="Arial"/>
                <w:sz w:val="17"/>
              </w:rPr>
              <w:t xml:space="preserve">Compelling storytelling</w:t>
            </w:r>
          </w:p>
        </w:tc>
        <w:tc>
          <w:tcPr>
            <w:tcW w:type="dxa" w:w="1134"/>
          </w:tcPr>
          <w:p>
            <w:pPr>
              <w:pStyle w:val="Compact"/>
              <w:spacing w:after="40"/>
              <w:jc w:val="left"/>
            </w:pPr>
            <w:r>
              <w:rPr>
                <w:bCs/>
                <w:rFonts w:ascii="Arial" w:hAnsi="Arial"/>
                <w:b/>
                <w:sz w:val="17"/>
              </w:rPr>
              <w:t xml:space="preserve">YES</w:t>
            </w:r>
            <w:r>
              <w:rPr>
                <w:rFonts w:ascii="Arial" w:hAnsi="Arial"/>
                <w:sz w:val="17"/>
              </w:rPr>
              <w:t xml:space="preserve"> </w:t>
            </w:r>
            <w:r>
              <w:rPr>
                <w:rFonts w:ascii="Arial" w:hAnsi="Arial"/>
                <w:sz w:val="17"/>
              </w:rPr>
              <w:t xml:space="preserve">(honest framing)</w:t>
            </w:r>
          </w:p>
        </w:tc>
        <w:tc>
          <w:tcPr>
            <w:tcW w:type="dxa" w:w="3417"/>
          </w:tcPr>
          <w:p>
            <w:pPr>
              <w:pStyle w:val="Compact"/>
              <w:spacing w:after="40"/>
              <w:jc w:val="left"/>
            </w:pPr>
            <w:r>
              <w:rPr>
                <w:rFonts w:ascii="Arial" w:hAnsi="Arial"/>
                <w:sz w:val="17"/>
              </w:rPr>
              <w:t xml:space="preserve">Narrative arc: problem → consequences → journey → outcomes</w:t>
            </w:r>
          </w:p>
        </w:tc>
        <w:tc>
          <w:tcPr>
            <w:tcW w:type="dxa" w:w="3365"/>
          </w:tcPr>
          <w:p>
            <w:pPr>
              <w:pStyle w:val="Compact"/>
              <w:spacing w:after="40"/>
              <w:jc w:val="left"/>
            </w:pPr>
            <w:r>
              <w:rPr>
                <w:rStyle w:val="VerbatimChar"/>
                <w:rFonts w:ascii="Arial" w:hAnsi="Arial"/>
                <w:sz w:val="17"/>
              </w:rPr>
              <w:t xml:space="preserve">executive-narrative.md</w:t>
            </w:r>
            <w:r>
              <w:rPr>
                <w:rFonts w:ascii="Arial" w:hAnsi="Arial"/>
                <w:sz w:val="17"/>
              </w:rPr>
              <w:t xml:space="preserve">,</w:t>
            </w:r>
            <w:r>
              <w:rPr>
                <w:rFonts w:ascii="Arial" w:hAnsi="Arial"/>
                <w:sz w:val="17"/>
              </w:rPr>
              <w:t xml:space="preserve"> </w:t>
            </w:r>
            <w:r>
              <w:rPr>
                <w:rStyle w:val="VerbatimChar"/>
                <w:rFonts w:ascii="Arial" w:hAnsi="Arial"/>
                <w:sz w:val="17"/>
              </w:rPr>
              <w:t xml:space="preserve">problem-to-value-story.md</w:t>
            </w:r>
            <w:r>
              <w:rPr>
                <w:rFonts w:ascii="Arial" w:hAnsi="Arial"/>
                <w:sz w:val="17"/>
              </w:rPr>
              <w:t xml:space="preserve">. Data hooks: month-end total 742,956.61 vs 622,826.44 (19.3 % join fan-out); 97.98 % of feed rows unmatched</w:t>
            </w:r>
          </w:p>
        </w:tc>
        <w:tc>
          <w:tcPr>
            <w:tcW w:type="dxa" w:w="3417"/>
          </w:tcPr>
          <w:p>
            <w:pPr>
              <w:pStyle w:val="Compact"/>
              <w:spacing w:after="40"/>
              <w:jc w:val="left"/>
            </w:pPr>
            <w:r>
              <w:rPr>
                <w:rFonts w:ascii="Arial" w:hAnsi="Arial"/>
                <w:sz w:val="17"/>
              </w:rPr>
              <w:t xml:space="preserve">Consequences are not quantified in money; no real stakeholders</w:t>
            </w:r>
          </w:p>
        </w:tc>
        <w:tc>
          <w:tcPr>
            <w:tcW w:type="dxa" w:w="1475"/>
          </w:tcPr>
          <w:p>
            <w:pPr>
              <w:pStyle w:val="Compact"/>
              <w:spacing w:after="40"/>
              <w:jc w:val="left"/>
            </w:pPr>
            <w:r>
              <w:rPr>
                <w:rFonts w:ascii="Arial" w:hAnsi="Arial"/>
                <w:sz w:val="17"/>
              </w:rPr>
              <w:t xml:space="preserve">none</w:t>
            </w:r>
          </w:p>
        </w:tc>
      </w:tr>
      <w:tr>
        <w:trPr>
          <w:cantSplit/>
        </w:trPr>
        <w:tc>
          <w:tcPr>
            <w:tcW w:type="dxa" w:w="1134"/>
          </w:tcPr>
          <w:p>
            <w:pPr>
              <w:pStyle w:val="Compact"/>
              <w:spacing w:after="40"/>
              <w:jc w:val="left"/>
            </w:pPr>
            <w:r>
              <w:rPr>
                <w:rFonts w:ascii="Arial" w:hAnsi="Arial"/>
                <w:sz w:val="17"/>
              </w:rPr>
              <w:t xml:space="preserve">21</w:t>
            </w:r>
          </w:p>
        </w:tc>
        <w:tc>
          <w:tcPr>
            <w:tcW w:type="dxa" w:w="1082"/>
          </w:tcPr>
          <w:p>
            <w:pPr>
              <w:pStyle w:val="Compact"/>
              <w:spacing w:after="40"/>
              <w:jc w:val="left"/>
            </w:pPr>
            <w:r>
              <w:rPr>
                <w:rFonts w:ascii="Arial" w:hAnsi="Arial"/>
                <w:sz w:val="17"/>
              </w:rPr>
              <w:t xml:space="preserve">Problem → Solution → Impact</w:t>
            </w:r>
          </w:p>
        </w:tc>
        <w:tc>
          <w:tcPr>
            <w:tcW w:type="dxa" w:w="1134"/>
          </w:tcPr>
          <w:p>
            <w:pPr>
              <w:pStyle w:val="Compact"/>
              <w:spacing w:after="40"/>
              <w:jc w:val="left"/>
            </w:pPr>
            <w:r>
              <w:rPr>
                <w:bCs/>
                <w:rFonts w:ascii="Arial" w:hAnsi="Arial"/>
                <w:b/>
                <w:sz w:val="17"/>
              </w:rPr>
              <w:t xml:space="preserve">PARTIAL</w:t>
            </w:r>
          </w:p>
        </w:tc>
        <w:tc>
          <w:tcPr>
            <w:tcW w:type="dxa" w:w="3417"/>
          </w:tcPr>
          <w:p>
            <w:pPr>
              <w:pStyle w:val="Compact"/>
              <w:spacing w:after="40"/>
              <w:jc w:val="left"/>
            </w:pPr>
            <w:r>
              <w:rPr>
                <w:rFonts w:ascii="Arial" w:hAnsi="Arial"/>
                <w:sz w:val="17"/>
              </w:rPr>
              <w:t xml:space="preserve">One-page P→S→I</w:t>
            </w:r>
          </w:p>
        </w:tc>
        <w:tc>
          <w:tcPr>
            <w:tcW w:type="dxa" w:w="3365"/>
          </w:tcPr>
          <w:p>
            <w:pPr>
              <w:pStyle w:val="Compact"/>
              <w:spacing w:after="40"/>
              <w:jc w:val="left"/>
            </w:pPr>
            <w:r>
              <w:rPr>
                <w:rFonts w:ascii="Arial" w:hAnsi="Arial"/>
                <w:sz w:val="17"/>
              </w:rPr>
              <w:t xml:space="preserve">Eight confirmed root causes RC-1..RC-8; solution = 10 capabilities; impact = parity + risk-control mechanisms</w:t>
            </w:r>
          </w:p>
        </w:tc>
        <w:tc>
          <w:tcPr>
            <w:tcW w:type="dxa" w:w="3417"/>
          </w:tcPr>
          <w:p>
            <w:pPr>
              <w:pStyle w:val="Compact"/>
              <w:spacing w:after="40"/>
              <w:jc w:val="left"/>
            </w:pPr>
            <w:r>
              <w:rPr>
                <w:rFonts w:ascii="Arial" w:hAnsi="Arial"/>
                <w:sz w:val="17"/>
              </w:rPr>
              <w:t xml:space="preserve">"Business value delivered" is not measurable today</w:t>
            </w:r>
          </w:p>
        </w:tc>
        <w:tc>
          <w:tcPr>
            <w:tcW w:type="dxa" w:w="1475"/>
          </w:tcPr>
          <w:p>
            <w:pPr>
              <w:pStyle w:val="Compact"/>
              <w:spacing w:after="40"/>
              <w:jc w:val="left"/>
            </w:pPr>
            <w:r>
              <w:rPr>
                <w:rFonts w:ascii="Arial" w:hAnsi="Arial"/>
                <w:sz w:val="17"/>
              </w:rPr>
              <w:t xml:space="preserve">none</w:t>
            </w:r>
          </w:p>
        </w:tc>
      </w:tr>
      <w:tr>
        <w:trPr>
          <w:cantSplit/>
        </w:trPr>
        <w:tc>
          <w:tcPr>
            <w:tcW w:type="dxa" w:w="1134"/>
          </w:tcPr>
          <w:p>
            <w:pPr>
              <w:pStyle w:val="Compact"/>
              <w:spacing w:after="40"/>
              <w:jc w:val="left"/>
            </w:pPr>
            <w:r>
              <w:rPr>
                <w:rFonts w:ascii="Arial" w:hAnsi="Arial"/>
                <w:sz w:val="17"/>
              </w:rPr>
              <w:t xml:space="preserve">22</w:t>
            </w:r>
          </w:p>
        </w:tc>
        <w:tc>
          <w:tcPr>
            <w:tcW w:type="dxa" w:w="1082"/>
          </w:tcPr>
          <w:p>
            <w:pPr>
              <w:pStyle w:val="Compact"/>
              <w:spacing w:after="40"/>
              <w:jc w:val="left"/>
            </w:pPr>
            <w:r>
              <w:rPr>
                <w:rFonts w:ascii="Arial" w:hAnsi="Arial"/>
                <w:sz w:val="17"/>
              </w:rPr>
              <w:t xml:space="preserve">Business + technical balance</w:t>
            </w:r>
          </w:p>
        </w:tc>
        <w:tc>
          <w:tcPr>
            <w:tcW w:type="dxa" w:w="1134"/>
          </w:tcPr>
          <w:p>
            <w:pPr>
              <w:pStyle w:val="Compact"/>
              <w:spacing w:after="40"/>
              <w:jc w:val="left"/>
            </w:pPr>
            <w:r>
              <w:rPr>
                <w:bCs/>
                <w:rFonts w:ascii="Arial" w:hAnsi="Arial"/>
                <w:b/>
                <w:sz w:val="17"/>
              </w:rPr>
              <w:t xml:space="preserve">YES</w:t>
            </w:r>
          </w:p>
        </w:tc>
        <w:tc>
          <w:tcPr>
            <w:tcW w:type="dxa" w:w="3417"/>
          </w:tcPr>
          <w:p>
            <w:pPr>
              <w:pStyle w:val="Compact"/>
              <w:spacing w:after="40"/>
              <w:jc w:val="left"/>
            </w:pPr>
            <w:r>
              <w:rPr>
                <w:rFonts w:ascii="Arial" w:hAnsi="Arial"/>
                <w:sz w:val="17"/>
              </w:rPr>
              <w:t xml:space="preserve">Slide-budget plan (equal weight)</w:t>
            </w:r>
          </w:p>
        </w:tc>
        <w:tc>
          <w:tcPr>
            <w:tcW w:type="dxa" w:w="3365"/>
          </w:tcPr>
          <w:p>
            <w:pPr>
              <w:pStyle w:val="Compact"/>
              <w:spacing w:after="40"/>
              <w:jc w:val="left"/>
            </w:pPr>
            <w:r>
              <w:rPr>
                <w:rFonts w:ascii="Arial" w:hAnsi="Arial"/>
                <w:sz w:val="17"/>
              </w:rPr>
              <w:t xml:space="preserve">Business: personas, KPIs, value hypothesis. Technical: ADRs, specs, tests</w:t>
            </w:r>
          </w:p>
        </w:tc>
        <w:tc>
          <w:tcPr>
            <w:tcW w:type="dxa" w:w="3417"/>
          </w:tcPr>
          <w:p>
            <w:pPr>
              <w:pStyle w:val="Compact"/>
              <w:spacing w:after="40"/>
              <w:jc w:val="left"/>
            </w:pPr>
            <w:r>
              <w:rPr>
                <w:rFonts w:ascii="Arial" w:hAnsi="Arial"/>
                <w:sz w:val="17"/>
              </w:rPr>
              <w:t xml:space="preserve">—</w:t>
            </w:r>
          </w:p>
        </w:tc>
        <w:tc>
          <w:tcPr>
            <w:tcW w:type="dxa" w:w="1475"/>
          </w:tcPr>
          <w:p>
            <w:pPr>
              <w:pStyle w:val="Compact"/>
              <w:spacing w:after="40"/>
              <w:jc w:val="left"/>
            </w:pPr>
            <w:r>
              <w:rPr>
                <w:rFonts w:ascii="Arial" w:hAnsi="Arial"/>
                <w:sz w:val="17"/>
              </w:rPr>
              <w:t xml:space="preserve">none</w:t>
            </w:r>
          </w:p>
        </w:tc>
      </w:tr>
      <w:tr>
        <w:trPr>
          <w:cantSplit/>
        </w:trPr>
        <w:tc>
          <w:tcPr>
            <w:tcW w:type="dxa" w:w="1134"/>
          </w:tcPr>
          <w:p>
            <w:pPr>
              <w:pStyle w:val="Compact"/>
              <w:spacing w:after="40"/>
              <w:jc w:val="left"/>
            </w:pPr>
            <w:r>
              <w:rPr>
                <w:rFonts w:ascii="Arial" w:hAnsi="Arial"/>
                <w:sz w:val="17"/>
              </w:rPr>
              <w:t xml:space="preserve">23</w:t>
            </w:r>
          </w:p>
        </w:tc>
        <w:tc>
          <w:tcPr>
            <w:tcW w:type="dxa" w:w="1082"/>
          </w:tcPr>
          <w:p>
            <w:pPr>
              <w:pStyle w:val="Compact"/>
              <w:spacing w:after="40"/>
              <w:jc w:val="left"/>
            </w:pPr>
            <w:r>
              <w:rPr>
                <w:rFonts w:ascii="Arial" w:hAnsi="Arial"/>
                <w:sz w:val="17"/>
              </w:rPr>
              <w:t xml:space="preserve">Before vs After KPIs</w:t>
            </w:r>
          </w:p>
        </w:tc>
        <w:tc>
          <w:tcPr>
            <w:tcW w:type="dxa" w:w="1134"/>
          </w:tcPr>
          <w:p>
            <w:pPr>
              <w:pStyle w:val="Compact"/>
              <w:spacing w:after="40"/>
              <w:jc w:val="left"/>
            </w:pPr>
            <w:r>
              <w:rPr>
                <w:bCs/>
                <w:rFonts w:ascii="Arial" w:hAnsi="Arial"/>
                <w:b/>
                <w:sz w:val="17"/>
              </w:rPr>
              <w:t xml:space="preserve">PARTIAL</w:t>
            </w:r>
          </w:p>
        </w:tc>
        <w:tc>
          <w:tcPr>
            <w:tcW w:type="dxa" w:w="3417"/>
          </w:tcPr>
          <w:p>
            <w:pPr>
              <w:pStyle w:val="Compact"/>
              <w:spacing w:after="40"/>
              <w:jc w:val="left"/>
            </w:pPr>
            <w:r>
              <w:rPr>
                <w:rFonts w:ascii="Arial" w:hAnsi="Arial"/>
                <w:sz w:val="17"/>
              </w:rPr>
              <w:t xml:space="preserve">KPI before/after charts for 22 KPIs, colour-coded by comparability class</w:t>
            </w:r>
          </w:p>
        </w:tc>
        <w:tc>
          <w:tcPr>
            <w:tcW w:type="dxa" w:w="3365"/>
          </w:tcPr>
          <w:p>
            <w:pPr>
              <w:pStyle w:val="Compact"/>
              <w:spacing w:after="40"/>
              <w:jc w:val="left"/>
            </w:pPr>
            <w:r>
              <w:rPr>
                <w:rFonts w:ascii="Arial" w:hAnsi="Arial"/>
                <w:sz w:val="17"/>
              </w:rPr>
              <w:t xml:space="preserve">Stage 34 sheet. Comparable: backlog 89/125 (parity), reopen rate 6.4 % (parity), replay safety Δ0, decisions recorded 0→2 of 2</w:t>
            </w:r>
          </w:p>
        </w:tc>
        <w:tc>
          <w:tcPr>
            <w:tcW w:type="dxa" w:w="3417"/>
          </w:tcPr>
          <w:p>
            <w:pPr>
              <w:pStyle w:val="Compact"/>
              <w:spacing w:after="40"/>
              <w:jc w:val="left"/>
            </w:pPr>
            <w:r>
              <w:rPr>
                <w:rFonts w:ascii="Arial" w:hAnsi="Arial"/>
                <w:sz w:val="17"/>
              </w:rPr>
              <w:t xml:space="preserve">Most KPIs Unknown (no closure/evidence timestamps). K-03 0 %→4/4 is</w:t>
            </w:r>
            <w:r>
              <w:rPr>
                <w:rFonts w:ascii="Arial" w:hAnsi="Arial"/>
                <w:sz w:val="17"/>
              </w:rPr>
              <w:t xml:space="preserve"> </w:t>
            </w:r>
            <w:r>
              <w:rPr>
                <w:iCs/>
                <w:rFonts w:ascii="Arial" w:hAnsi="Arial"/>
                <w:i/>
                <w:sz w:val="17"/>
              </w:rPr>
              <w:t xml:space="preserve">not</w:t>
            </w:r>
            <w:r>
              <w:rPr>
                <w:rFonts w:ascii="Arial" w:hAnsi="Arial"/>
                <w:sz w:val="17"/>
              </w:rPr>
              <w:t xml:space="preserve"> </w:t>
            </w:r>
            <w:r>
              <w:rPr>
                <w:rFonts w:ascii="Arial" w:hAnsi="Arial"/>
                <w:sz w:val="17"/>
              </w:rPr>
              <w:t xml:space="preserve">like-for-like. Productivity/performance have no baseline</w:t>
            </w:r>
          </w:p>
        </w:tc>
        <w:tc>
          <w:tcPr>
            <w:tcW w:type="dxa" w:w="1475"/>
          </w:tcPr>
          <w:p>
            <w:pPr>
              <w:pStyle w:val="Compact"/>
              <w:spacing w:after="40"/>
              <w:jc w:val="left"/>
            </w:pPr>
            <w:r>
              <w:rPr>
                <w:rFonts w:ascii="Arial" w:hAnsi="Arial"/>
                <w:sz w:val="17"/>
              </w:rPr>
              <w:t xml:space="preserve">Decide whether to add measured build-effort data</w:t>
            </w:r>
          </w:p>
        </w:tc>
      </w:tr>
      <w:tr>
        <w:trPr>
          <w:cantSplit/>
        </w:trPr>
        <w:tc>
          <w:tcPr>
            <w:tcW w:type="dxa" w:w="1134"/>
          </w:tcPr>
          <w:p>
            <w:pPr>
              <w:pStyle w:val="Compact"/>
              <w:spacing w:after="40"/>
              <w:jc w:val="left"/>
            </w:pPr>
            <w:r>
              <w:rPr>
                <w:rFonts w:ascii="Arial" w:hAnsi="Arial"/>
                <w:sz w:val="17"/>
              </w:rPr>
              <w:t xml:space="preserve">24</w:t>
            </w:r>
          </w:p>
        </w:tc>
        <w:tc>
          <w:tcPr>
            <w:tcW w:type="dxa" w:w="1082"/>
          </w:tcPr>
          <w:p>
            <w:pPr>
              <w:pStyle w:val="Compact"/>
              <w:spacing w:after="40"/>
              <w:jc w:val="left"/>
            </w:pPr>
            <w:r>
              <w:rPr>
                <w:rFonts w:ascii="Arial" w:hAnsi="Arial"/>
                <w:sz w:val="17"/>
              </w:rPr>
              <w:t xml:space="preserve">GenAI Value Justification</w:t>
            </w:r>
          </w:p>
        </w:tc>
        <w:tc>
          <w:tcPr>
            <w:tcW w:type="dxa" w:w="1134"/>
          </w:tcPr>
          <w:p>
            <w:pPr>
              <w:pStyle w:val="Compact"/>
              <w:spacing w:after="40"/>
              <w:jc w:val="left"/>
            </w:pPr>
            <w:r>
              <w:rPr>
                <w:bCs/>
                <w:rFonts w:ascii="Arial" w:hAnsi="Arial"/>
                <w:b/>
                <w:sz w:val="17"/>
              </w:rPr>
              <w:t xml:space="preserve">PARTIAL</w:t>
            </w:r>
            <w:r>
              <w:rPr>
                <w:rFonts w:ascii="Arial" w:hAnsi="Arial"/>
                <w:sz w:val="17"/>
              </w:rPr>
              <w:t xml:space="preserve"> </w:t>
            </w:r>
            <w:r>
              <w:rPr>
                <w:rFonts w:ascii="Arial" w:hAnsi="Arial"/>
                <w:sz w:val="17"/>
              </w:rPr>
              <w:t xml:space="preserve">(updated 25 Oct)</w:t>
            </w:r>
          </w:p>
        </w:tc>
        <w:tc>
          <w:tcPr>
            <w:tcW w:type="dxa" w:w="3417"/>
          </w:tcPr>
          <w:p>
            <w:pPr>
              <w:pStyle w:val="Compact"/>
              <w:spacing w:after="40"/>
              <w:jc w:val="left"/>
            </w:pPr>
            <w:r>
              <w:rPr>
                <w:rFonts w:ascii="Arial" w:hAnsi="Arial"/>
                <w:sz w:val="17"/>
              </w:rPr>
              <w:t xml:space="preserve">Deck slides 'Which gains came from AI' and 'What AI can and cannot do'; assistant demonstrates grounded explanation with citations</w:t>
            </w:r>
          </w:p>
        </w:tc>
        <w:tc>
          <w:tcPr>
            <w:tcW w:type="dxa" w:w="3365"/>
          </w:tcPr>
          <w:p>
            <w:pPr>
              <w:pStyle w:val="Compact"/>
              <w:spacing w:after="40"/>
              <w:jc w:val="left"/>
            </w:pPr>
            <w:r>
              <w:rPr>
                <w:rStyle w:val="VerbatimChar"/>
                <w:rFonts w:ascii="Arial" w:hAnsi="Arial"/>
                <w:sz w:val="17"/>
              </w:rPr>
              <w:t xml:space="preserve">ai-decision-defence.md</w:t>
            </w:r>
            <w:r>
              <w:rPr>
                <w:rFonts w:ascii="Arial" w:hAnsi="Arial"/>
                <w:sz w:val="17"/>
              </w:rPr>
              <w:t xml:space="preserve">; Command Centre assistant; semantic layer as model-portable context</w:t>
            </w:r>
          </w:p>
        </w:tc>
        <w:tc>
          <w:tcPr>
            <w:tcW w:type="dxa" w:w="3417"/>
          </w:tcPr>
          <w:p>
            <w:pPr>
              <w:pStyle w:val="Compact"/>
              <w:spacing w:after="40"/>
              <w:jc w:val="left"/>
            </w:pPr>
            <w:r>
              <w:rPr>
                <w:rFonts w:ascii="Arial" w:hAnsi="Arial"/>
                <w:sz w:val="17"/>
              </w:rPr>
              <w:t xml:space="preserve">Every measured improvement came from traditional engineering; AI value (reviewer time, answer quality) is not yet measured; build-effort saving not recorded (LL-14)</w:t>
            </w:r>
          </w:p>
        </w:tc>
        <w:tc>
          <w:tcPr>
            <w:tcW w:type="dxa" w:w="1475"/>
          </w:tcPr>
          <w:p>
            <w:pPr>
              <w:pStyle w:val="Compact"/>
              <w:spacing w:after="40"/>
              <w:jc w:val="left"/>
            </w:pPr>
            <w:r>
              <w:rPr>
                <w:rFonts w:ascii="Arial" w:hAnsi="Arial"/>
                <w:sz w:val="17"/>
              </w:rPr>
              <w:t xml:space="preserve">A labelled question set (RQ-1) to evaluate the assistant</w:t>
            </w:r>
          </w:p>
        </w:tc>
      </w:tr>
      <w:tr>
        <w:trPr>
          <w:cantSplit/>
        </w:trPr>
        <w:tc>
          <w:tcPr>
            <w:tcW w:type="dxa" w:w="1134"/>
          </w:tcPr>
          <w:p>
            <w:pPr>
              <w:pStyle w:val="Compact"/>
              <w:spacing w:after="40"/>
              <w:jc w:val="left"/>
            </w:pPr>
            <w:r>
              <w:rPr>
                <w:rFonts w:ascii="Arial" w:hAnsi="Arial"/>
                <w:sz w:val="17"/>
              </w:rPr>
              <w:t xml:space="preserve">25</w:t>
            </w:r>
          </w:p>
        </w:tc>
        <w:tc>
          <w:tcPr>
            <w:tcW w:type="dxa" w:w="1082"/>
          </w:tcPr>
          <w:p>
            <w:pPr>
              <w:pStyle w:val="Compact"/>
              <w:spacing w:after="40"/>
              <w:jc w:val="left"/>
            </w:pPr>
            <w:r>
              <w:rPr>
                <w:rFonts w:ascii="Arial" w:hAnsi="Arial"/>
                <w:sz w:val="17"/>
              </w:rPr>
              <w:t xml:space="preserve">Visual-first communication</w:t>
            </w:r>
          </w:p>
        </w:tc>
        <w:tc>
          <w:tcPr>
            <w:tcW w:type="dxa" w:w="1134"/>
          </w:tcPr>
          <w:p>
            <w:pPr>
              <w:pStyle w:val="Compact"/>
              <w:spacing w:after="40"/>
              <w:jc w:val="left"/>
            </w:pPr>
            <w:r>
              <w:rPr>
                <w:bCs/>
                <w:rFonts w:ascii="Arial" w:hAnsi="Arial"/>
                <w:b/>
                <w:sz w:val="17"/>
              </w:rPr>
              <w:t xml:space="preserve">YES</w:t>
            </w:r>
          </w:p>
        </w:tc>
        <w:tc>
          <w:tcPr>
            <w:tcW w:type="dxa" w:w="3417"/>
          </w:tcPr>
          <w:p>
            <w:pPr>
              <w:pStyle w:val="Compact"/>
              <w:spacing w:after="40"/>
              <w:jc w:val="left"/>
            </w:pPr>
            <w:r>
              <w:rPr>
                <w:rFonts w:ascii="Arial" w:hAnsi="Arial"/>
                <w:sz w:val="17"/>
              </w:rPr>
              <w:t xml:space="preserve">Architecture, workflow, graph, KPI and traceability diagrams</w:t>
            </w:r>
          </w:p>
        </w:tc>
        <w:tc>
          <w:tcPr>
            <w:tcW w:type="dxa" w:w="3365"/>
          </w:tcPr>
          <w:p>
            <w:pPr>
              <w:pStyle w:val="Compact"/>
              <w:spacing w:after="40"/>
              <w:jc w:val="left"/>
            </w:pPr>
            <w:r>
              <w:rPr>
                <w:rFonts w:ascii="Arial" w:hAnsi="Arial"/>
                <w:sz w:val="17"/>
              </w:rPr>
              <w:t xml:space="preserve">Component model, ADRs, workflows, semantic layer</w:t>
            </w:r>
          </w:p>
        </w:tc>
        <w:tc>
          <w:tcPr>
            <w:tcW w:type="dxa" w:w="3417"/>
          </w:tcPr>
          <w:p>
            <w:pPr>
              <w:pStyle w:val="Compact"/>
              <w:spacing w:after="40"/>
              <w:jc w:val="left"/>
            </w:pPr>
            <w:r>
              <w:rPr>
                <w:rFonts w:ascii="Arial" w:hAnsi="Arial"/>
                <w:sz w:val="17"/>
              </w:rPr>
              <w:t xml:space="preserve">Branding (#15)</w:t>
            </w:r>
          </w:p>
        </w:tc>
        <w:tc>
          <w:tcPr>
            <w:tcW w:type="dxa" w:w="1475"/>
          </w:tcPr>
          <w:p>
            <w:pPr>
              <w:pStyle w:val="Compact"/>
              <w:spacing w:after="40"/>
              <w:jc w:val="left"/>
            </w:pPr>
            <w:r>
              <w:rPr>
                <w:rFonts w:ascii="Arial" w:hAnsi="Arial"/>
                <w:sz w:val="17"/>
              </w:rPr>
              <w:t xml:space="preserve">Branding assets</w:t>
            </w:r>
          </w:p>
        </w:tc>
      </w:tr>
      <w:tr>
        <w:trPr>
          <w:cantSplit/>
        </w:trPr>
        <w:tc>
          <w:tcPr>
            <w:tcW w:type="dxa" w:w="1134"/>
          </w:tcPr>
          <w:p>
            <w:pPr>
              <w:pStyle w:val="Compact"/>
              <w:spacing w:after="40"/>
              <w:jc w:val="left"/>
            </w:pPr>
            <w:r>
              <w:rPr>
                <w:rFonts w:ascii="Arial" w:hAnsi="Arial"/>
                <w:sz w:val="17"/>
              </w:rPr>
              <w:t xml:space="preserve">26</w:t>
            </w:r>
          </w:p>
        </w:tc>
        <w:tc>
          <w:tcPr>
            <w:tcW w:type="dxa" w:w="1082"/>
          </w:tcPr>
          <w:p>
            <w:pPr>
              <w:pStyle w:val="Compact"/>
              <w:spacing w:after="40"/>
              <w:jc w:val="left"/>
            </w:pPr>
            <w:r>
              <w:rPr>
                <w:rFonts w:ascii="Arial" w:hAnsi="Arial"/>
                <w:sz w:val="17"/>
              </w:rPr>
              <w:t xml:space="preserve">Evidence-based demonstration</w:t>
            </w:r>
          </w:p>
        </w:tc>
        <w:tc>
          <w:tcPr>
            <w:tcW w:type="dxa" w:w="1134"/>
          </w:tcPr>
          <w:p>
            <w:pPr>
              <w:pStyle w:val="Compact"/>
              <w:spacing w:after="40"/>
              <w:jc w:val="left"/>
            </w:pPr>
            <w:r>
              <w:rPr>
                <w:bCs/>
                <w:rFonts w:ascii="Arial" w:hAnsi="Arial"/>
                <w:b/>
                <w:sz w:val="17"/>
              </w:rPr>
              <w:t xml:space="preserve">YES</w:t>
            </w:r>
          </w:p>
        </w:tc>
        <w:tc>
          <w:tcPr>
            <w:tcW w:type="dxa" w:w="3417"/>
          </w:tcPr>
          <w:p>
            <w:pPr>
              <w:pStyle w:val="Compact"/>
              <w:spacing w:after="40"/>
              <w:jc w:val="left"/>
            </w:pPr>
            <w:r>
              <w:rPr>
                <w:rFonts w:ascii="Arial" w:hAnsi="Arial"/>
                <w:sz w:val="17"/>
              </w:rPr>
              <w:t xml:space="preserve">Proof-of-work bundle: logs, test outputs, hashes</w:t>
            </w:r>
          </w:p>
        </w:tc>
        <w:tc>
          <w:tcPr>
            <w:tcW w:type="dxa" w:w="3365"/>
          </w:tcPr>
          <w:p>
            <w:pPr>
              <w:pStyle w:val="Compact"/>
              <w:spacing w:after="40"/>
              <w:jc w:val="left"/>
            </w:pPr>
            <w:r>
              <w:rPr>
                <w:rStyle w:val="VerbatimChar"/>
                <w:rFonts w:ascii="Arial" w:hAnsi="Arial"/>
                <w:sz w:val="17"/>
              </w:rPr>
              <w:t xml:space="preserve">s30-log-*</w:t>
            </w:r>
            <w:r>
              <w:rPr>
                <w:rFonts w:ascii="Arial" w:hAnsi="Arial"/>
                <w:sz w:val="17"/>
              </w:rPr>
              <w:t xml:space="preserve">,</w:t>
            </w:r>
            <w:r>
              <w:rPr>
                <w:rFonts w:ascii="Arial" w:hAnsi="Arial"/>
                <w:sz w:val="17"/>
              </w:rPr>
              <w:t xml:space="preserve"> </w:t>
            </w:r>
            <w:r>
              <w:rPr>
                <w:rStyle w:val="VerbatimChar"/>
                <w:rFonts w:ascii="Arial" w:hAnsi="Arial"/>
                <w:sz w:val="17"/>
              </w:rPr>
              <w:t xml:space="preserve">docs/16-repo-validation/evidence</w:t>
            </w:r>
            <w:r>
              <w:rPr>
                <w:rFonts w:ascii="Arial" w:hAnsi="Arial"/>
                <w:sz w:val="17"/>
              </w:rPr>
              <w:t xml:space="preserve">, TEVV evidence, golden compare</w:t>
            </w:r>
          </w:p>
        </w:tc>
        <w:tc>
          <w:tcPr>
            <w:tcW w:type="dxa" w:w="3417"/>
          </w:tcPr>
          <w:p>
            <w:pPr>
              <w:pStyle w:val="Compact"/>
              <w:spacing w:after="40"/>
              <w:jc w:val="left"/>
            </w:pPr>
            <w:r>
              <w:rPr>
                <w:rFonts w:ascii="Arial" w:hAnsi="Arial"/>
                <w:sz w:val="17"/>
              </w:rPr>
              <w:t xml:space="preserve">Fresh run optional</w:t>
            </w:r>
          </w:p>
        </w:tc>
        <w:tc>
          <w:tcPr>
            <w:tcW w:type="dxa" w:w="1475"/>
          </w:tcPr>
          <w:p>
            <w:pPr>
              <w:pStyle w:val="Compact"/>
              <w:spacing w:after="40"/>
              <w:jc w:val="left"/>
            </w:pPr>
            <w:r>
              <w:rPr>
                <w:rFonts w:ascii="Arial" w:hAnsi="Arial"/>
                <w:sz w:val="17"/>
              </w:rPr>
              <w:t xml:space="preserve">none</w:t>
            </w:r>
          </w:p>
        </w:tc>
      </w:tr>
      <w:tr>
        <w:trPr>
          <w:cantSplit/>
        </w:trPr>
        <w:tc>
          <w:tcPr>
            <w:tcW w:type="dxa" w:w="1134"/>
          </w:tcPr>
          <w:p>
            <w:pPr>
              <w:pStyle w:val="Compact"/>
              <w:spacing w:after="40"/>
              <w:jc w:val="left"/>
            </w:pPr>
            <w:r>
              <w:rPr>
                <w:rFonts w:ascii="Arial" w:hAnsi="Arial"/>
                <w:sz w:val="17"/>
              </w:rPr>
              <w:t xml:space="preserve">27</w:t>
            </w:r>
          </w:p>
        </w:tc>
        <w:tc>
          <w:tcPr>
            <w:tcW w:type="dxa" w:w="1082"/>
          </w:tcPr>
          <w:p>
            <w:pPr>
              <w:pStyle w:val="Compact"/>
              <w:spacing w:after="40"/>
              <w:jc w:val="left"/>
            </w:pPr>
            <w:r>
              <w:rPr>
                <w:rFonts w:ascii="Arial" w:hAnsi="Arial"/>
                <w:sz w:val="17"/>
              </w:rPr>
              <w:t xml:space="preserve">End-to-end transformation traceability</w:t>
            </w:r>
          </w:p>
        </w:tc>
        <w:tc>
          <w:tcPr>
            <w:tcW w:type="dxa" w:w="1134"/>
          </w:tcPr>
          <w:p>
            <w:pPr>
              <w:pStyle w:val="Compact"/>
              <w:spacing w:after="40"/>
              <w:jc w:val="left"/>
            </w:pPr>
            <w:r>
              <w:rPr>
                <w:bCs/>
                <w:rFonts w:ascii="Arial" w:hAnsi="Arial"/>
                <w:b/>
                <w:sz w:val="17"/>
              </w:rPr>
              <w:t xml:space="preserve">PARTIAL</w:t>
            </w:r>
          </w:p>
        </w:tc>
        <w:tc>
          <w:tcPr>
            <w:tcW w:type="dxa" w:w="3417"/>
          </w:tcPr>
          <w:p>
            <w:pPr>
              <w:pStyle w:val="Compact"/>
              <w:spacing w:after="40"/>
              <w:jc w:val="left"/>
            </w:pPr>
            <w:r>
              <w:rPr>
                <w:rFonts w:ascii="Arial" w:hAnsi="Arial"/>
                <w:sz w:val="17"/>
              </w:rPr>
              <w:t xml:space="preserve">Traceability ribbon: discovery (S5/7) → rule extraction (S6/12) → architecture (S10) → modernization (S15) → validation (S16/26) → readiness (S30) → semantic layer</w:t>
            </w:r>
          </w:p>
        </w:tc>
        <w:tc>
          <w:tcPr>
            <w:tcW w:type="dxa" w:w="3365"/>
          </w:tcPr>
          <w:p>
            <w:pPr>
              <w:pStyle w:val="Compact"/>
              <w:spacing w:after="40"/>
              <w:jc w:val="left"/>
            </w:pPr>
            <w:r>
              <w:rPr>
                <w:rFonts w:ascii="Arial" w:hAnsi="Arial"/>
                <w:sz w:val="17"/>
              </w:rPr>
              <w:t xml:space="preserve">All stages documented</w:t>
            </w:r>
          </w:p>
        </w:tc>
        <w:tc>
          <w:tcPr>
            <w:tcW w:type="dxa" w:w="3417"/>
          </w:tcPr>
          <w:p>
            <w:pPr>
              <w:pStyle w:val="Compact"/>
              <w:spacing w:after="40"/>
              <w:jc w:val="left"/>
            </w:pPr>
            <w:r>
              <w:rPr>
                <w:rFonts w:ascii="Arial" w:hAnsi="Arial"/>
                <w:sz w:val="17"/>
              </w:rPr>
              <w:t xml:space="preserve">"AI integration" step is N/A; production readiness = BLOCKED</w:t>
            </w:r>
          </w:p>
        </w:tc>
        <w:tc>
          <w:tcPr>
            <w:tcW w:type="dxa" w:w="1475"/>
          </w:tcPr>
          <w:p>
            <w:pPr>
              <w:pStyle w:val="Compact"/>
              <w:spacing w:after="40"/>
              <w:jc w:val="left"/>
            </w:pPr>
            <w:r>
              <w:rPr>
                <w:rFonts w:ascii="Arial" w:hAnsi="Arial"/>
                <w:sz w:val="17"/>
              </w:rPr>
              <w:t xml:space="preserve">none</w:t>
            </w:r>
          </w:p>
        </w:tc>
      </w:tr>
      <w:tr>
        <w:trPr>
          <w:cantSplit/>
        </w:trPr>
        <w:tc>
          <w:tcPr>
            <w:tcW w:type="dxa" w:w="1134"/>
          </w:tcPr>
          <w:p>
            <w:pPr>
              <w:pStyle w:val="Compact"/>
              <w:spacing w:after="40"/>
              <w:jc w:val="left"/>
            </w:pPr>
            <w:r>
              <w:rPr>
                <w:rFonts w:ascii="Arial" w:hAnsi="Arial"/>
                <w:sz w:val="17"/>
              </w:rPr>
              <w:t xml:space="preserve">28</w:t>
            </w:r>
          </w:p>
        </w:tc>
        <w:tc>
          <w:tcPr>
            <w:tcW w:type="dxa" w:w="1082"/>
          </w:tcPr>
          <w:p>
            <w:pPr>
              <w:pStyle w:val="Compact"/>
              <w:spacing w:after="40"/>
              <w:jc w:val="left"/>
            </w:pPr>
            <w:r>
              <w:rPr>
                <w:rFonts w:ascii="Arial" w:hAnsi="Arial"/>
                <w:sz w:val="17"/>
              </w:rPr>
              <w:t xml:space="preserve">Crisp lessons learned (4–5)</w:t>
            </w:r>
          </w:p>
        </w:tc>
        <w:tc>
          <w:tcPr>
            <w:tcW w:type="dxa" w:w="1134"/>
          </w:tcPr>
          <w:p>
            <w:pPr>
              <w:pStyle w:val="Compact"/>
              <w:spacing w:after="40"/>
              <w:jc w:val="left"/>
            </w:pPr>
            <w:r>
              <w:rPr>
                <w:bCs/>
                <w:rFonts w:ascii="Arial" w:hAnsi="Arial"/>
                <w:b/>
                <w:sz w:val="17"/>
              </w:rPr>
              <w:t xml:space="preserve">YES</w:t>
            </w:r>
          </w:p>
        </w:tc>
        <w:tc>
          <w:tcPr>
            <w:tcW w:type="dxa" w:w="3417"/>
          </w:tcPr>
          <w:p>
            <w:pPr>
              <w:pStyle w:val="Compact"/>
              <w:spacing w:after="40"/>
              <w:jc w:val="left"/>
            </w:pPr>
            <w:r>
              <w:rPr>
                <w:rFonts w:ascii="Arial" w:hAnsi="Arial"/>
                <w:sz w:val="17"/>
              </w:rPr>
              <w:t xml:space="preserve">Five lessons distilled from the 18 recorded (engineering, business, GenAI limits, unexpected, future)</w:t>
            </w:r>
          </w:p>
        </w:tc>
        <w:tc>
          <w:tcPr>
            <w:tcW w:type="dxa" w:w="3365"/>
          </w:tcPr>
          <w:p>
            <w:pPr>
              <w:pStyle w:val="Compact"/>
              <w:spacing w:after="40"/>
              <w:jc w:val="left"/>
            </w:pPr>
            <w:r>
              <w:rPr>
                <w:rStyle w:val="VerbatimChar"/>
                <w:rFonts w:ascii="Arial" w:hAnsi="Arial"/>
                <w:sz w:val="17"/>
              </w:rPr>
              <w:t xml:space="preserve">lessons-learned.md</w:t>
            </w:r>
            <w:r>
              <w:rPr>
                <w:rFonts w:ascii="Arial" w:hAnsi="Arial"/>
                <w:sz w:val="17"/>
              </w:rPr>
              <w:t xml:space="preserve"> </w:t>
            </w:r>
            <w:r>
              <w:rPr>
                <w:rFonts w:ascii="Arial" w:hAnsi="Arial"/>
                <w:sz w:val="17"/>
              </w:rPr>
              <w:t xml:space="preserve">LL-01..LL-18</w:t>
            </w:r>
          </w:p>
        </w:tc>
        <w:tc>
          <w:tcPr>
            <w:tcW w:type="dxa" w:w="3417"/>
          </w:tcPr>
          <w:p>
            <w:pPr>
              <w:pStyle w:val="Compact"/>
              <w:spacing w:after="40"/>
              <w:jc w:val="left"/>
            </w:pPr>
            <w:r>
              <w:rPr>
                <w:rFonts w:ascii="Arial" w:hAnsi="Arial"/>
                <w:sz w:val="17"/>
              </w:rPr>
              <w:t xml:space="preserve">Lessons about</w:t>
            </w:r>
            <w:r>
              <w:rPr>
                <w:rFonts w:ascii="Arial" w:hAnsi="Arial"/>
                <w:sz w:val="17"/>
              </w:rPr>
              <w:t xml:space="preserve"> </w:t>
            </w:r>
            <w:r>
              <w:rPr>
                <w:iCs/>
                <w:rFonts w:ascii="Arial" w:hAnsi="Arial"/>
                <w:i/>
                <w:sz w:val="17"/>
              </w:rPr>
              <w:t xml:space="preserve">GenAI limits</w:t>
            </w:r>
            <w:r>
              <w:rPr>
                <w:rFonts w:ascii="Arial" w:hAnsi="Arial"/>
                <w:sz w:val="17"/>
              </w:rPr>
              <w:t xml:space="preserve"> </w:t>
            </w:r>
            <w:r>
              <w:rPr>
                <w:rFonts w:ascii="Arial" w:hAnsi="Arial"/>
                <w:sz w:val="17"/>
              </w:rPr>
              <w:t xml:space="preserve">come from the build process, not product use</w:t>
            </w:r>
          </w:p>
        </w:tc>
        <w:tc>
          <w:tcPr>
            <w:tcW w:type="dxa" w:w="1475"/>
          </w:tcPr>
          <w:p>
            <w:pPr>
              <w:pStyle w:val="Compact"/>
              <w:spacing w:after="40"/>
              <w:jc w:val="left"/>
            </w:pPr>
            <w:r>
              <w:rPr>
                <w:rFonts w:ascii="Arial" w:hAnsi="Arial"/>
                <w:sz w:val="17"/>
              </w:rPr>
              <w:t xml:space="preserve">none</w:t>
            </w:r>
          </w:p>
        </w:tc>
      </w:tr>
    </w:tbl>
    <w:p>
      <w:pPr>
        <w:pStyle w:val="BodyText"/>
      </w:pPr>
      <w:r>
        <w:rPr>
          <w:bCs/>
          <w:b/>
        </w:rPr>
        <w:t xml:space="preserve">Tally (all 28, updated 25 Oct 2026):</w:t>
      </w:r>
      <w:r>
        <w:t xml:space="preserve"> </w:t>
      </w:r>
      <w:r>
        <w:t xml:space="preserve">YES 17 (#1, 2, 5, 8, 9, 10, 11, 12, 16, 17, 18, 19, 20, 22, 25, 26, 28) · PARTIAL 11 (#3, 4, 6, 7, 13, 14, 15, 21, 23, 24, 27) · BLOCKED 0 · LATER 0. Previous tally (first check): YES 14 · PARTIAL 10 · BLOCKED 3 · LATER 1.</w:t>
      </w:r>
    </w:p>
    <w:p>
      <w:r>
        <w:pict>
          <v:rect style="width:0;height:1.5pt" o:hralign="center" o:hrstd="t" o:hr="t"/>
        </w:pict>
      </w:r>
    </w:p>
    <w:bookmarkEnd w:id="23"/>
    <w:bookmarkStart w:id="24" w:name="X0cebb31c6047597d8ea4b54e9207a62ca05c7ac"/>
    <w:p>
      <w:pPr>
        <w:pStyle w:val="Heading2"/>
      </w:pPr>
      <w:r>
        <w:t xml:space="preserve">5. What I need from you (ordered by impact)</w:t>
      </w:r>
    </w:p>
    <w:p>
      <w:pPr>
        <w:numPr>
          <w:ilvl w:val="0"/>
          <w:numId w:val="1001"/>
        </w:numPr>
        <w:pStyle w:val="Compact"/>
      </w:pPr>
      <w:r>
        <w:rPr>
          <w:strike/>
        </w:rPr>
        <w:t xml:space="preserve">AI stance</w:t>
      </w:r>
      <w:r>
        <w:t xml:space="preserve"> </w:t>
      </w:r>
      <w:r>
        <w:rPr>
          <w:bCs/>
          <w:b/>
        </w:rPr>
        <w:t xml:space="preserve">Decided 25 Oct:</w:t>
      </w:r>
      <w:r>
        <w:t xml:space="preserve"> </w:t>
      </w:r>
      <w:r>
        <w:t xml:space="preserve">add an advisory OpenAI assistant (A1) on the deterministic core. Remaining: a labelled question set to evaluate it (RQ-1, #24).</w:t>
      </w:r>
    </w:p>
    <w:p>
      <w:pPr>
        <w:numPr>
          <w:ilvl w:val="0"/>
          <w:numId w:val="1001"/>
        </w:numPr>
        <w:pStyle w:val="Compact"/>
      </w:pPr>
      <w:r>
        <w:rPr>
          <w:strike/>
        </w:rPr>
        <w:t xml:space="preserve">Brand assets</w:t>
      </w:r>
      <w:r>
        <w:t xml:space="preserve"> </w:t>
      </w:r>
      <w:r>
        <w:rPr>
          <w:bCs/>
          <w:b/>
        </w:rPr>
        <w:t xml:space="preserve">Partly met 25 Oct:</w:t>
      </w:r>
      <w:r>
        <w:t xml:space="preserve"> </w:t>
      </w:r>
      <w:r>
        <w:t xml:space="preserve">styled from the annual-report sample. Remaining: an official template, if one exists (#15).</w:t>
      </w:r>
    </w:p>
    <w:p>
      <w:pPr>
        <w:numPr>
          <w:ilvl w:val="0"/>
          <w:numId w:val="1001"/>
        </w:numPr>
        <w:pStyle w:val="Compact"/>
      </w:pPr>
      <w:r>
        <w:rPr>
          <w:bCs/>
          <w:b/>
        </w:rPr>
        <w:t xml:space="preserve">Portability run (#4, #14):</w:t>
      </w:r>
      <w:r>
        <w:t xml:space="preserve"> </w:t>
      </w:r>
      <w:r>
        <w:t xml:space="preserve">access to a second model to regenerate the PRD/app from the semantic layer and compare.</w:t>
      </w:r>
    </w:p>
    <w:p>
      <w:pPr>
        <w:numPr>
          <w:ilvl w:val="0"/>
          <w:numId w:val="1001"/>
        </w:numPr>
        <w:pStyle w:val="Compact"/>
      </w:pPr>
      <w:r>
        <w:rPr>
          <w:bCs/>
          <w:b/>
        </w:rPr>
        <w:t xml:space="preserve">Wire the built-but-unwired controls?</w:t>
      </w:r>
      <w:r>
        <w:t xml:space="preserve"> </w:t>
      </w:r>
      <w:r>
        <w:t xml:space="preserve">(#13)</w:t>
      </w:r>
    </w:p>
    <w:p>
      <w:pPr>
        <w:numPr>
          <w:ilvl w:val="0"/>
          <w:numId w:val="1001"/>
        </w:numPr>
        <w:pStyle w:val="Compact"/>
      </w:pPr>
      <w:r>
        <w:rPr>
          <w:bCs/>
          <w:b/>
        </w:rPr>
        <w:t xml:space="preserve">Pilot window / after-window</w:t>
      </w:r>
      <w:r>
        <w:t xml:space="preserve"> </w:t>
      </w:r>
      <w:r>
        <w:t xml:space="preserve">for measured before-vs-after (#21, #23, #14).</w:t>
      </w:r>
    </w:p>
    <w:p>
      <w:pPr>
        <w:numPr>
          <w:ilvl w:val="0"/>
          <w:numId w:val="1001"/>
        </w:numPr>
        <w:pStyle w:val="Compact"/>
      </w:pPr>
      <w:r>
        <w:rPr>
          <w:strike/>
        </w:rPr>
        <w:t xml:space="preserve">Demo machine</w:t>
      </w:r>
      <w:r>
        <w:t xml:space="preserve"> </w:t>
      </w:r>
      <w:r>
        <w:rPr>
          <w:bCs/>
          <w:b/>
        </w:rPr>
        <w:t xml:space="preserve">Decided 25 Oct:</w:t>
      </w:r>
      <w:r>
        <w:t xml:space="preserve"> </w:t>
      </w:r>
      <w:r>
        <w:t xml:space="preserve">local machine, Python 3.14.</w:t>
      </w:r>
    </w:p>
    <w:bookmarkEnd w:id="24"/>
    <w:bookmarkStart w:id="25" w:name="X1e3b2831c7329b2842727180360894397fb7598"/>
    <w:p>
      <w:pPr>
        <w:pStyle w:val="Heading2"/>
      </w:pPr>
      <w:r>
        <w:t xml:space="preserve">6. What was delivered</w:t>
      </w:r>
    </w:p>
    <w:p>
      <w:pPr>
        <w:numPr>
          <w:ilvl w:val="0"/>
          <w:numId w:val="1002"/>
        </w:numPr>
      </w:pPr>
      <w:r>
        <w:t xml:space="preserve">25 Oct update:</w:t>
      </w:r>
      <w:r>
        <w:t xml:space="preserve"> </w:t>
      </w:r>
      <w:r>
        <w:rPr>
          <w:rStyle w:val="VerbatimChar"/>
        </w:rPr>
        <w:t xml:space="preserve">04_Quality_Command_Centre/</w:t>
      </w:r>
      <w:r>
        <w:t xml:space="preserve"> </w:t>
      </w:r>
      <w:r>
        <w:t xml:space="preserve">(running UI + OpenAI assistant, Python 3.14),</w:t>
      </w:r>
      <w:r>
        <w:t xml:space="preserve"> </w:t>
      </w:r>
      <w:r>
        <w:rPr>
          <w:rStyle w:val="VerbatimChar"/>
        </w:rPr>
        <w:t xml:space="preserve">05_CTO_Presentation/</w:t>
      </w:r>
      <w:r>
        <w:t xml:space="preserve"> </w:t>
      </w:r>
      <w:r>
        <w:t xml:space="preserve">(31-slide deck), demo machine = local machine, Python 3.14.</w:t>
      </w:r>
    </w:p>
    <w:p>
      <w:pPr>
        <w:numPr>
          <w:ilvl w:val="0"/>
          <w:numId w:val="1002"/>
        </w:numPr>
      </w:pPr>
      <w:r>
        <w:rPr>
          <w:rStyle w:val="VerbatimChar"/>
        </w:rPr>
        <w:t xml:space="preserve">semantic-layer/</w:t>
      </w:r>
      <w:r>
        <w:t xml:space="preserve"> </w:t>
      </w:r>
      <w:r>
        <w:t xml:space="preserve">— the captured semantic layer (no app built, as you asked).</w:t>
      </w:r>
    </w:p>
    <w:p>
      <w:pPr>
        <w:numPr>
          <w:ilvl w:val="0"/>
          <w:numId w:val="1002"/>
        </w:numPr>
      </w:pPr>
      <w:r>
        <w:t xml:space="preserve">This matrix.</w:t>
      </w:r>
    </w:p>
    <w:p>
      <w:pPr>
        <w:numPr>
          <w:ilvl w:val="0"/>
          <w:numId w:val="1002"/>
        </w:numPr>
      </w:pPr>
      <w:r>
        <w:rPr>
          <w:rStyle w:val="VerbatimChar"/>
        </w:rPr>
        <w:t xml:space="preserve">00_INDEX.md</w:t>
      </w:r>
      <w:r>
        <w:t xml:space="preserve"> </w:t>
      </w:r>
      <w:r>
        <w:t xml:space="preserve">— map of everything in this folder.</w:t>
      </w:r>
    </w:p>
    <w:bookmarkEnd w:id="25"/>
    <w:bookmarkStart w:id="26" w:name="X706a80f20b134d4415fd08c3d6a24752d042318"/>
    <w:p>
      <w:pPr>
        <w:pStyle w:val="Heading2"/>
      </w:pPr>
      <w:r>
        <w:t xml:space="preserve">7. Release readiness update (25 Oct 2026, evening)</w:t>
      </w:r>
    </w:p>
    <w:p>
      <w:pPr>
        <w:pStyle w:val="FirstParagraph"/>
      </w:pPr>
      <w:r>
        <w:t xml:space="preserve">Guideline verdicts are unchanged (YES 17, PARTIAL 11). What changed under #14, #21 and #23 (release status and measured improvement):</w:t>
      </w:r>
    </w:p>
    <w:p>
      <w:pPr>
        <w:numPr>
          <w:ilvl w:val="0"/>
          <w:numId w:val="1003"/>
        </w:numPr>
        <w:pStyle w:val="Compact"/>
      </w:pPr>
      <w:r>
        <w:t xml:space="preserve">T-05 now has evidence: the hub's full regression ran on Python 3.14.6 in a sandbox copy of</w:t>
      </w:r>
      <w:r>
        <w:t xml:space="preserve"> </w:t>
      </w:r>
      <w:r>
        <w:rPr>
          <w:rStyle w:val="VerbatimChar"/>
        </w:rPr>
        <w:t xml:space="preserve">main</w:t>
      </w:r>
      <w:r>
        <w:t>: 31 of 31 groups, 586 of 586 tests executed as expected at main a2b4828, before Stage 44 (main e62c9b4: 33 groups, 613 executed, 1 skip, Python 3.13 cloud sandbox; Python 3.14 re-run pending) (</w:t>
      </w:r>
      <w:r>
        <w:rPr>
          <w:rStyle w:val="VerbatimChar"/>
        </w:rPr>
        <w:t xml:space="preserve">06_Release_Readiness/evidence/</w:t>
      </w:r>
      <w:r>
        <w:t xml:space="preserve">). It is not yet recorded in the repo's</w:t>
      </w:r>
      <w:r>
        <w:t xml:space="preserve"> </w:t>
      </w:r>
      <w:r>
        <w:rPr>
          <w:rStyle w:val="VerbatimChar"/>
        </w:rPr>
        <w:t xml:space="preserve">gate-results.json</w:t>
      </w:r>
      <w:r>
        <w:t xml:space="preserve">.</w:t>
      </w:r>
    </w:p>
    <w:p>
      <w:pPr>
        <w:numPr>
          <w:ilvl w:val="0"/>
          <w:numId w:val="1003"/>
        </w:numPr>
        <w:pStyle w:val="Compact"/>
      </w:pPr>
      <w:r>
        <w:t xml:space="preserve">The repo's evaluator, fed that result, shows 17 of 20 technical criteria passing;</w:t>
      </w:r>
      <w:r>
        <w:t xml:space="preserve"> </w:t>
      </w:r>
      <w:r>
        <w:rPr>
          <w:bCs/>
          <w:b/>
        </w:rPr>
        <w:t xml:space="preserve">G1, T-09 and T-10 block</w:t>
      </w:r>
      <w:r>
        <w:t xml:space="preserve">, approvals 0 of 40. Release stays</w:t>
      </w:r>
      <w:r>
        <w:t xml:space="preserve"> </w:t>
      </w:r>
      <w:r>
        <w:rPr>
          <w:bCs/>
          <w:b/>
        </w:rPr>
        <w:t xml:space="preserve">NO-GO</w:t>
      </w:r>
      <w:r>
        <w:t xml:space="preserve">.</w:t>
      </w:r>
    </w:p>
    <w:p>
      <w:pPr>
        <w:numPr>
          <w:ilvl w:val="0"/>
          <w:numId w:val="1003"/>
        </w:numPr>
        <w:pStyle w:val="Compact"/>
      </w:pPr>
      <w:r>
        <w:t xml:space="preserve">The sign-off workbook, T-09 / T-10 drafts and</w:t>
      </w:r>
      <w:r>
        <w:t xml:space="preserve"> </w:t>
      </w:r>
      <w:r>
        <w:rPr>
          <w:rStyle w:val="VerbatimChar"/>
        </w:rPr>
        <w:t xml:space="preserve">release_check.py</w:t>
      </w:r>
      <w:r>
        <w:t xml:space="preserve"> </w:t>
      </w:r>
      <w:r>
        <w:t xml:space="preserve">are in</w:t>
      </w:r>
      <w:r>
        <w:t xml:space="preserve"> </w:t>
      </w:r>
      <w:r>
        <w:rPr>
          <w:rStyle w:val="VerbatimChar"/>
        </w:rPr>
        <w:t xml:space="preserve">06_Release_Readiness/</w:t>
      </w:r>
      <w:r>
        <w:t xml:space="preserve">. A throwaway dry run showed G1 flips to pass once all 11 deviations are approved. Only you can approve; the hub refuses any other approver.</w:t>
      </w:r>
    </w:p>
    <w:p>
      <w:pPr>
        <w:numPr>
          <w:ilvl w:val="0"/>
          <w:numId w:val="1003"/>
        </w:numPr>
        <w:pStyle w:val="Compact"/>
      </w:pPr>
      <w:r>
        <w:t xml:space="preserve">Two repo-state findings: your working-folder</w:t>
      </w:r>
      <w:r>
        <w:t xml:space="preserve"> </w:t>
      </w:r>
      <w:r>
        <w:rPr>
          <w:rStyle w:val="VerbatimChar"/>
        </w:rPr>
        <w:t xml:space="preserve">data/legacy.sqlite3</w:t>
      </w:r>
      <w:r>
        <w:t xml:space="preserve"> </w:t>
      </w:r>
      <w:r>
        <w:t xml:space="preserve">no longer matches the Stage 0A backup checksum (the repo's own test runner refuses to run there), and on branch</w:t>
      </w:r>
      <w:r>
        <w:t xml:space="preserve"> </w:t>
      </w:r>
      <w:r>
        <w:rPr>
          <w:rStyle w:val="VerbatimChar"/>
        </w:rPr>
        <w:t xml:space="preserve">docs/readme-hub-ui</w:t>
      </w:r>
      <w:r>
        <w:t xml:space="preserve"> </w:t>
      </w:r>
      <w:r>
        <w:t xml:space="preserve">the README change fails TST-CO-05 / TST-CO-12 shard 3 (passes on</w:t>
      </w:r>
      <w:r>
        <w:t xml:space="preserve"> </w:t>
      </w:r>
      <w:r>
        <w:rPr>
          <w:rStyle w:val="VerbatimChar"/>
        </w:rPr>
        <w:t xml:space="preserve">main</w:t>
      </w:r>
      <w:r>
        <w:t xml:space="preserve">).</w:t>
      </w:r>
    </w:p>
    <w:bookmarkEnd w:id="26"/>
    <w:bookmarkEnd w:id="27"/>
    <w:p>
      <w:pPr>
        <w:pStyle w:val="Compact"/>
      </w:pPr>
      <w:r>
        <w:rPr/>
        <w:t>Update 26 Oct 2026 (Stage 44, merged as PR #32, main e62c9b4): the hub itself now has an optional, off-by-default advisory document Q&amp;A that can use Azure OpenAI (decision OD-40 in the repo). It is separate from the Command Centre assistant (decision OD-41, which the repo log did not previously hold). It is disabled in the shipped configuration and needs an approval reference to enable. It answers only from hub search results with citations and uses synthetic data only. It was tested only against a local fake Azure server; no real Azure call was made, so it is not proven against a live deployment. The core decision path is still No-AI. Details: docs/44-genai-qa/ in the repo.</w:t>
      </w:r>
    </w:p>
    <w:sectPr>
      <w:footerReference w:type="default" r:id="rId9"/>
      <w:pgSz w:orient="landscape" w:w="16838" w:h="11906"/>
      <w:pgMar w:left="907" w:right="907" w:top="907" w:bottom="90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Team Delta · GxP Quality Hub · page </w:t>
    </w:r>
    <w:r>
      <w:rPr>
        <w:sz w:val="16"/>
      </w:rPr>
      <w:fldChar w:fldCharType="begin"/>
    </w:r>
    <w:r>
      <w:rPr>
        <w:sz w:val="16"/>
      </w:rPr>
      <w:instrText xml:space="preserve"> PAGE </w:instrText>
    </w:r>
    <w:r>
      <w:rPr>
        <w:sz w:val="16"/>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rial" w:hAnsi="Arial" w:eastAsia="Arial"/>
      <w:sz w:val="19"/>
    </w:rPr>
  </w:style>
  <w:style w:styleId="BodyText" w:type="paragraph">
    <w:name w:val="Body Text"/>
    <w:basedOn w:val="Normal"/>
    <w:link w:val="BodyTextChar"/>
    <w:pPr>
      <w:spacing w:after="180" w:before="180"/>
    </w:pPr>
    <w:qFormat/>
    <w:rPr>
      <w:rFonts w:ascii="Arial" w:hAnsi="Arial" w:eastAsia="Arial"/>
      <w:sz w:val="19"/>
    </w:rPr>
  </w:style>
  <w:style w:customStyle="1" w:styleId="FirstParagraph" w:type="paragraph">
    <w:name w:val="First Paragraph"/>
    <w:basedOn w:val="BodyText"/>
    <w:next w:val="BodyText"/>
    <w:qFormat/>
    <w:rPr>
      <w:rFonts w:ascii="Arial" w:hAnsi="Arial" w:eastAsia="Arial"/>
      <w:sz w:val="19"/>
    </w:rPr>
  </w:style>
  <w:style w:customStyle="1" w:styleId="Compact" w:type="paragraph">
    <w:name w:val="Compact"/>
    <w:basedOn w:val="BodyText"/>
    <w:qFormat/>
    <w:pPr>
      <w:spacing w:after="36" w:before="36"/>
    </w:pPr>
    <w:rPr>
      <w:rFonts w:ascii="Arial" w:hAnsi="Arial" w:eastAsia="Arial"/>
      <w:sz w:val="19"/>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Arial" w:hAnsi="Arial" w:eastAsia="Arial"/>
      <w:b/>
      <w:bCs/>
      <w:color w:val="262626"/>
      <w:sz w:val="40"/>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2026-10-26T01:41:40Z</dcterms:created>
  <dcterms:modified xsi:type="dcterms:W3CDTF">2026-10-26T01:41:40Z</dcterms:modified>
</cp:coreProperties>
</file>

<file path=docProps/custom.xml><?xml version="1.0" encoding="utf-8"?>
<Properties xmlns="http://schemas.openxmlformats.org/officeDocument/2006/custom-properties" xmlns:vt="http://schemas.openxmlformats.org/officeDocument/2006/docPropsVTypes"/>
</file>