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Capstone Readiness Report</w:t>
      </w:r>
    </w:p>
    <w:p>
      <w:pPr>
        <w:spacing w:after="120"/>
      </w:pPr>
      <w:r>
        <w:rPr>
          <w:rFonts w:ascii="Arial" w:cs="Arial" w:eastAsia="Arial" w:hAnsi="Arial"/>
          <w:color w:val="595959"/>
          <w:sz w:val="22"/>
          <w:szCs w:val="22"/>
        </w:rPr>
        <w:t xml:space="preserve">Check of the 28 final-presentation guidelines against the repo</w:t>
      </w:r>
    </w:p>
    <w:p>
      <w:pPr>
        <w:pBdr>
          <w:bottom w:val="single" w:color="1F3864" w:sz="8" w:space="4"/>
        </w:pBdr>
        <w:spacing w:after="200"/>
      </w:pPr>
      <w:r>
        <w:rPr>
          <w:rFonts w:ascii="Arial" w:cs="Arial" w:eastAsia="Arial" w:hAnsi="Arial"/>
          <w:i/>
          <w:iCs/>
          <w:sz w:val="17"/>
          <w:szCs w:val="17"/>
        </w:rPr>
        <w:t xml:space="preserve">Prepared 25 Oct 2026 for Dinesh Naik. Label: synthetic repository, unvalidated against any organisation. Every number is synthetic, unvalidated unless stated.</w:t>
      </w:r>
    </w:p>
    <w:p>
      <w:pPr>
        <w:pStyle w:val="Heading1"/>
        <w:spacing w:after="120" w:before="280"/>
      </w:pPr>
      <w:r>
        <w:rPr>
          <w:rFonts w:ascii="Arial" w:cs="Arial" w:eastAsia="Arial" w:hAnsi="Arial"/>
          <w:b/>
          <w:bCs/>
          <w:color w:val="1F3864"/>
          <w:sz w:val="30"/>
          <w:szCs w:val="30"/>
        </w:rPr>
        <w:t xml:space="preserve">1. Answer in one line</w:t>
      </w:r>
    </w:p>
    <w:p>
      <w:pPr>
        <w:spacing w:after="100"/>
      </w:pPr>
      <w:r>
        <w:rPr>
          <w:rFonts w:ascii="Arial" w:cs="Arial" w:eastAsia="Arial" w:hAnsi="Arial"/>
          <w:sz w:val="20"/>
          <w:szCs w:val="20"/>
        </w:rPr>
        <w:t xml:space="preserve">All 28 guidelines in the Final Presentation Guidelines PDF were checked against the repo. Updated 25 Oct 2026 after the Command Centre UI, the OpenAI assistant and the CTO deck were built: 17 are met and 11 are partly met; none is blocked. The Stage 42 system prompt was treated as already done.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Verdict</w:t>
            </w:r>
          </w:p>
        </w:tc>
        <w:tc>
          <w:tcPr>
            <w:tcW w:type="dxa" w:w="1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Count</w:t>
            </w:r>
          </w:p>
        </w:tc>
        <w:tc>
          <w:tcPr>
            <w:tcW w:type="dxa" w:w="70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Guidelines</w:t>
            </w:r>
          </w:p>
        </w:tc>
      </w:tr>
      <w:tr>
        <w:trPr>
          <w:cantSplit/>
        </w:trPr>
        <w:tc>
          <w:tcPr>
            <w:tcW w:type="dxa" w:w="16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17</w:t>
            </w:r>
          </w:p>
        </w:tc>
        <w:tc>
          <w:tcPr>
            <w:tcW w:type="dxa" w:w="7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 2, 5, 8, 9, 10, 11, 12, 16, 17, 18, 19, 20, 22, 25, 26, 28</w:t>
            </w:r>
          </w:p>
        </w:tc>
      </w:tr>
      <w:tr>
        <w:trPr>
          <w:cantSplit/>
        </w:trPr>
        <w:tc>
          <w:tcPr>
            <w:tcW w:type="dxa" w:w="16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11</w:t>
            </w:r>
          </w:p>
        </w:tc>
        <w:tc>
          <w:tcPr>
            <w:tcW w:type="dxa" w:w="7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#3, 4, 6, 7, 13, 14, 15, 21, 23, 24, 27</w:t>
            </w:r>
          </w:p>
        </w:tc>
      </w:tr>
      <w:tr>
        <w:trPr>
          <w:cantSplit/>
        </w:trPr>
        <w:tc>
          <w:tcPr>
            <w:tcW w:type="dxa" w:w="1600"/>
            <w:tcBorders>
              <w:top w:val="single" w:color="BFBFBF" w:sz="4"/>
              <w:left w:val="single" w:color="BFBFBF" w:sz="4"/>
              <w:bottom w:val="single" w:color="BFBFBF" w:sz="4"/>
              <w:right w:val="single" w:color="BFBFBF" w:sz="4"/>
            </w:tcBorders>
            <w:shd w:fill="FFC7CE" w:val="clear"/>
            <w:tcMar>
              <w:top w:type="dxa" w:w="50"/>
              <w:left w:type="dxa" w:w="80"/>
              <w:bottom w:type="dxa" w:w="50"/>
              <w:right w:type="dxa" w:w="80"/>
            </w:tcMar>
          </w:tcPr>
          <w:p>
            <w:r>
              <w:rPr>
                <w:rFonts w:ascii="Arial" w:cs="Arial" w:eastAsia="Arial" w:hAnsi="Arial"/>
                <w:b/>
                <w:bCs/>
                <w:sz w:val="17"/>
                <w:szCs w:val="17"/>
              </w:rPr>
              <w:t xml:space="preserve">BLOCKED</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7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 (was #6, 15, 24)</w:t>
            </w:r>
          </w:p>
        </w:tc>
      </w:tr>
      <w:tr>
        <w:trPr>
          <w:cantSplit/>
        </w:trPr>
        <w:tc>
          <w:tcPr>
            <w:tcW w:type="dxa" w:w="1600"/>
            <w:tcBorders>
              <w:top w:val="single" w:color="BFBFBF" w:sz="4"/>
              <w:left w:val="single" w:color="BFBFBF" w:sz="4"/>
              <w:bottom w:val="single" w:color="BFBFBF" w:sz="4"/>
              <w:right w:val="single" w:color="BFBFBF" w:sz="4"/>
            </w:tcBorders>
            <w:shd w:fill="D9D9D9" w:val="clear"/>
            <w:tcMar>
              <w:top w:type="dxa" w:w="50"/>
              <w:left w:type="dxa" w:w="80"/>
              <w:bottom w:type="dxa" w:w="50"/>
              <w:right w:type="dxa" w:w="80"/>
            </w:tcMar>
          </w:tcPr>
          <w:p>
            <w:r>
              <w:rPr>
                <w:rFonts w:ascii="Arial" w:cs="Arial" w:eastAsia="Arial" w:hAnsi="Arial"/>
                <w:b/>
                <w:bCs/>
                <w:sz w:val="17"/>
                <w:szCs w:val="17"/>
              </w:rPr>
              <w:t xml:space="preserve">LATER</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7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 (was #4)</w:t>
            </w:r>
          </w:p>
        </w:tc>
      </w:tr>
    </w:tbl>
    <w:p>
      <w:pPr>
        <w:pStyle w:val="Heading1"/>
        <w:spacing w:after="120" w:before="280"/>
      </w:pPr>
      <w:r>
        <w:rPr>
          <w:rFonts w:ascii="Arial" w:cs="Arial" w:eastAsia="Arial" w:hAnsi="Arial"/>
          <w:b/>
          <w:bCs/>
          <w:color w:val="1F3864"/>
          <w:sz w:val="30"/>
          <w:szCs w:val="30"/>
        </w:rPr>
        <w:t xml:space="preserve">2. Five findings that change the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400"/>
        <w:gridCol w:w="18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w:t>
            </w:r>
          </w:p>
        </w:tc>
        <w:tc>
          <w:tcPr>
            <w:tcW w:type="dxa" w:w="30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Finding</w:t>
            </w:r>
          </w:p>
        </w:tc>
        <w:tc>
          <w:tcPr>
            <w:tcW w:type="dxa" w:w="44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Why it matters</w:t>
            </w:r>
          </w:p>
        </w:tc>
        <w:tc>
          <w:tcPr>
            <w:tcW w:type="dxa" w:w="18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Evidence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F-1</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The product is formally No-AI. You answered "Accept No-AI" (OD-08, 2026-10-18); FR-CO-04 / PNFR-18 forbid any LLM/ML call; Stages 19 (Intelligence) and 22 (Agentic) are NOT APPLICABLE.</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Guidelines #6 (agentic AI), #7 (knowledge graphs), #17 (AI intelligence in demo), #24 (GenAI justification) cannot be met "as written" by the current build. They need either (a) an honest "GenAI deliberately not used, here is why" story, or (b) a new decision to re-qualify AI (triggers RQ-1..RQ-3). Updated 25 Oct: you chose to add an advisory OpenAI assistant (autonomy A1) on top of the deterministic core; recorded as OD-41 in the semantic layer.</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.fde/orchestrator-decisions.md OD-08; docs/08-ai-qualification/qualification-decision.md QD-1, QD-3</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F-2</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"Two functional applications" is not yet satisfied. One app exists: the shadow hub/. The second ("Context-Lake ported application") is the app regenerated from the semantic layer with a different model (challenge guide: Develop APP → Test semantic layer with new model → Compare both).</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Needs to be built later. The semantic layer captured now is its input.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semantic-layer-build.txt; challenge guide p.6</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F-3</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Release is BLOCKED and value is not computable. 0 of 40 approvals, evaluator says NO-GO, ROI/NPV/payback "NOT COMPUTABLE", no after-window. Update 25 Oct: the path to GO (shadow) is prepared and tested; the missing pieces are your decisions, not engineering (06_Release_Readiness).</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Guidelines #14, #21, #23 ask for measured improvement. Only parity and mechanism-level evidence exists. I will not invent numbers; the deck must say so (the repo's own pitch rules forbid "saves X %", "production-ready", "AI-powered").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docs/final-prd/final-as-built-prd.md; docs/42-executive-defence/elevator-pitch.md EP-4</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F-4</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Birlasoft branding assets are not in the folder (updated 25 Oct: styled from the annual-report sample you provided). No logo, corporate .potx template or brand guideline found.</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Guideline #15 (and the visual quality of #16/#25) is blocked until you provide approved assets.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folder listing</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F-5</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UI is thin (updated 25 Oct: the Command Centre adds 9 views over the hub). 7 server-rendered screens/actions, loopback only, standard library only (no TLS).</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Guideline #5 asks for dashboards, navigation, role-based experiences. Gap is real; closing it is new build work and may conflict with the stdlib-only/loopback ADRs.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hub/web/ui_routes.json; ADR-014, ADR-015</w:t>
            </w:r>
          </w:p>
        </w:tc>
      </w:tr>
    </w:tbl>
    <w:p>
      <w:pPr>
        <w:pStyle w:val="Heading1"/>
        <w:spacing w:after="120" w:before="280"/>
      </w:pPr>
      <w:r>
        <w:rPr>
          <w:rFonts w:ascii="Arial" w:cs="Arial" w:eastAsia="Arial" w:hAnsi="Arial"/>
          <w:b/>
          <w:bCs/>
          <w:color w:val="1F3864"/>
          <w:sz w:val="30"/>
          <w:szCs w:val="30"/>
        </w:rPr>
        <w:t xml:space="preserve">3. Section A: engineering and transformation (#1 to #18)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100"/>
        <w:gridCol w:w="4900"/>
        <w:gridCol w:w="16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w:t>
            </w:r>
          </w:p>
        </w:tc>
        <w:tc>
          <w:tcPr>
            <w:tcW w:type="dxa" w:w="17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Guideline</w:t>
            </w:r>
          </w:p>
        </w:tc>
        <w:tc>
          <w:tcPr>
            <w:tcW w:type="dxa" w:w="11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Verdict</w:t>
            </w:r>
          </w:p>
        </w:tc>
        <w:tc>
          <w:tcPr>
            <w:tcW w:type="dxa" w:w="49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What can be created, and the gap</w:t>
            </w:r>
          </w:p>
        </w:tc>
        <w:tc>
          <w:tcPr>
            <w:tcW w:type="dxa" w:w="16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Needed from you</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42-Stage AI FDE Spine</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Spine coverage &amp; adaptation log: one row per stage (00A–43) with status, depth, what was adapted  Gap: Statuses are the agent's own; no external review</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Prompt Adaptability</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Prompt adaptation register: what was added, combined, skipped or changed and why  Gap: Adaptations were made in execution, not by editing prompts (LL-16 says fix paths at source)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Confirm if you edited any prompt elsewhere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Enterprise Context Lake</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Context-Lake manifest: versioned index of every context asset (978 doc files, ADR-001..018, OD log, specs, schemas, evidence logs, semantic layer) with type, stage, hash and evidence tier [Verified Fact/Inference/Assumption/Unknown]  Gap: No queryable store; "code intelligence" is a text package graph, not an index. Naming clash: data/lake/ in the repo is synthetic event data, not the Context Lake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Confirm the Context Lake may be a file-based manifest + semantic layer rather than a database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4</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Two functional applications</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 (updated 25 Oct)</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App A = legacy estate; App B = shadow hub + GxP Quality Command Centre (04_Quality_Command_Centre/) with an advisory OpenAI assistant  Gap: The 'regenerated from the semantic layer on a second model' portability run has not been done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Access to a second model if the portability comparison is wanted</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Enterprise-grade UI/UX</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 (updated 25 Oct)</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Running Command Centre: executive overview, cases with trace drawer, intake &amp; exception queues, month-end truth, definitions, Zone H gate, AI assistant, release evidence, system; 6 role personas, deny-by-default  Gap: Read-only (no reviewer writes in the new UI); personas are demo personas, not authentication; loopback only</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6</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Agentic AI engineering</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 (updated 25 Oct)</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Advisory assistant (autonomy A1) with guard → retrieve → wrap → generate → label/log pipeline; Zone H refusals for AI actors; autonomy ladder A0–A5  Gap: No multi-step agent or tool orchestration; assistant not evaluated on real documents (RQ-1)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Decide whether an A2 'draft evidence pack for human approval' agent is in scope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Knowledge graphs</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Graph export from the semantic layer: nodes/edges JSON + Mermaid diagram; optional RDF/Turtle  Gap: Stage 11 chose no graph database; enterprise graph has one untyped relation (relates_to, ER-11-02). "Justified by use case" is arguable for explainability only</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 (I can proceed with the lightweight export)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Semantic Layer</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 — done now</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Delivered: semantic-layer/ (glossary, entities, relationships, status taxonomy, business rules, metrics, access semantics, AI-context policy, workflows, constraints, context dependencies, JSON schema, generated JSON, tests, assessment)  Gap: Not yet proven portable — requires the model-swap test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Run the portability test when ready</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Specification-Driven Development</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SDD evidence index: requirement → spec → contract → ADR → acceptance criterion  Gap: ADRs never individually ACCEPTED (AB-AR-7)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Test-Driven Development</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Test pyramid &amp; evidence summary (characterization, unit, integration, regression, contract, e2e, mutation)  Gap: CT-13 fails on Node patch drift; test totals not re-run at final HEAD (U-43-12); no CI installed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Permission to re-run in a sandbox copy if you want fresh numbers</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Security &amp; Threat Modeling</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Security story: threat model, attack surface, control matrix, red-team results  Gap: No LLM/RAG/agent threats because there is no AI; no TLS, no 2FA, no external pen test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Compliance &amp; Governance</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 (with wording limits)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Compliance &amp; governance summary: obligations OB-01..OB-16, control matrix, system card, model card, AI-system register  Gap: You decided "Part 11 framing only, no 'compliant' claims" (OD-30). Retention is hold-all; privacy regime not assessed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Production Engineering</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Built-vs-wired readiness matrix (observability, resilience, rollback, performance, scalability, ops readiness)  Gap: Resilience, observability exports, release evaluator, CI file exist but are not wired/installed; no deployed environment; 24 of 38 readiness checks met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Decide whether to wire them before the demo</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14</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Evidence-Based Comparison</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 / LATER</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Comparison harness design + scenario set; legacy-vs-hub table from Stage 34/35  Gap: Needs App B for A-vs-B. ROI not computable; latency has no target; model cost is USD 0 by design. No improvement can be claimed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App B (see #4)</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Birlasoft Branding</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 (updated 25 Oct)</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Deck, Command Centre and diagrams styled from the Birlasoft Annual Report 2024-25 sample (wordmark, red/grey palette, two-line grey + red headings)  Gap: No official .potx template or brand guideline; fonts substituted with Arial (the report uses Locator)</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Official template if one exists</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16</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Board-Level Presentation</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 (updated 25 Oct)</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05_CTO_Presentation/GxP_Quality_Hub_CTO_Presentation.pptx: 31 slides with speaker notes (Team Delta on the title slide; before/now architecture, hub module map and engineering comparison slides), CTO audience, 3W + How, problem → solution → functional flow → technical implementation → evidence → value → lessons → moonshots  Gap: Value slides state 'not computable' where true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Rehearse timing (about 1.5 min per slide)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Live End-to-End Demonstration</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 (updated 25 Oct)</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Command Centre live demo on the local machine with Python 3.14 (start-windows.bat or py -3.14 run.py); 8-minute demo path in its README; deck slides 18–21 are the recorded fallback  Gap: The hub's own test suite was re-run on Python 3.14.6 on 25 Oct in a sandbox copy of main: 31 of 31 groups, 586 of 586 tests (goldens were recorded on 3.10, LL-18; run on your own machine's 3.14 still to do)</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Optional: set OPENAI_API_KEY to show model mode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Engineering Evidence &amp; Traceability</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Evidence index: claim → artifact → test/log → hash  Gap: Human sign-offs are all open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bl>
    <w:p>
      <w:pPr>
        <w:pStyle w:val="Heading1"/>
        <w:spacing w:after="120" w:before="280"/>
      </w:pPr>
      <w:r>
        <w:rPr>
          <w:rFonts w:ascii="Arial" w:cs="Arial" w:eastAsia="Arial" w:hAnsi="Arial"/>
          <w:b/>
          <w:bCs/>
          <w:color w:val="1F3864"/>
          <w:sz w:val="30"/>
          <w:szCs w:val="30"/>
        </w:rPr>
        <w:t xml:space="preserve">4. Section B: presentation and executive defence (#19 to #28)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100"/>
        <w:gridCol w:w="4900"/>
        <w:gridCol w:w="16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w:t>
            </w:r>
          </w:p>
        </w:tc>
        <w:tc>
          <w:tcPr>
            <w:tcW w:type="dxa" w:w="17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Guideline</w:t>
            </w:r>
          </w:p>
        </w:tc>
        <w:tc>
          <w:tcPr>
            <w:tcW w:type="dxa" w:w="11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Verdict</w:t>
            </w:r>
          </w:p>
        </w:tc>
        <w:tc>
          <w:tcPr>
            <w:tcW w:type="dxa" w:w="49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What can be created, and the gap</w:t>
            </w:r>
          </w:p>
        </w:tc>
        <w:tc>
          <w:tcPr>
            <w:tcW w:type="dxa" w:w="16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Needed from you</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19</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Time-boxed (40 + 10 min)</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Minute-by-minute run-of-show with demo cut-points and Q&amp;A bank  Gap: Needs the second app for a full 40 min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Confirm demo order</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Compelling storytelling</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 (honest framing)</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Narrative arc: problem → consequences → journey → outcomes  Gap: Consequences are not quantified in money; no real stakeholders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Problem → Solution → Impact</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One-page P→S→I  Gap: "Business value delivered" is not measurable today</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Business + technical balance</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Slide-budget plan (equal weight)  Gap: —</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Before vs After KPIs</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KPI before/after charts for 22 KPIs, colour-coded by comparability class  Gap: Most KPIs Unknown (no closure/evidence timestamps). K-03 0 %→4/4 is not like-for-like. Productivity/performance have no baseline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Decide whether to add measured build-effort data</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24</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GenAI Value Justification</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 (updated 25 Oct)</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Deck slides 'Which gains came from AI' and 'What AI can and cannot do'; assistant demonstrates grounded explanation with citations  Gap: Every measured improvement came from traditional engineering; AI value (reviewer time, answer quality) is not yet measured; build-effort saving not recorded (LL-14)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 labelled question set (RQ-1) to evaluate the assistant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Visual-first communication</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Architecture, workflow, graph, KPI and traceability diagrams  Gap: Branding (#15)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Branding assets</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26</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Evidence-based demonstration</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Proof-of-work bundle: logs, test outputs, hashes  Gap: Fresh run optional</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End-to-end transformation traceability</w:t>
            </w:r>
          </w:p>
        </w:tc>
        <w:tc>
          <w:tcPr>
            <w:tcW w:type="dxa" w:w="1100"/>
            <w:tcBorders>
              <w:top w:val="single" w:color="BFBFBF" w:sz="4"/>
              <w:left w:val="single" w:color="BFBFBF" w:sz="4"/>
              <w:bottom w:val="single" w:color="BFBFBF" w:sz="4"/>
              <w:right w:val="single" w:color="BFBFBF" w:sz="4"/>
            </w:tcBorders>
            <w:shd w:fill="FFEB9C" w:val="clear"/>
            <w:tcMar>
              <w:top w:type="dxa" w:w="50"/>
              <w:left w:type="dxa" w:w="80"/>
              <w:bottom w:type="dxa" w:w="50"/>
              <w:right w:type="dxa" w:w="80"/>
            </w:tcMar>
          </w:tcPr>
          <w:p>
            <w:r>
              <w:rPr>
                <w:rFonts w:ascii="Arial" w:cs="Arial" w:eastAsia="Arial" w:hAnsi="Arial"/>
                <w:b/>
                <w:bCs/>
                <w:sz w:val="17"/>
                <w:szCs w:val="17"/>
              </w:rPr>
              <w:t xml:space="preserve">PARTIAL</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Traceability ribbon: discovery (S5/7) → rule extraction (S6/12) → architecture (S10) → modernization (S15) → validation (S16/26) → readiness (S30) → semantic layer  Gap: "AI integration" step is N/A; production readiness = BLOCKED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Crisp lessons learned (4–5)</w:t>
            </w:r>
          </w:p>
        </w:tc>
        <w:tc>
          <w:tcPr>
            <w:tcW w:type="dxa" w:w="1100"/>
            <w:tcBorders>
              <w:top w:val="single" w:color="BFBFBF" w:sz="4"/>
              <w:left w:val="single" w:color="BFBFBF" w:sz="4"/>
              <w:bottom w:val="single" w:color="BFBFBF" w:sz="4"/>
              <w:right w:val="single" w:color="BFBFBF" w:sz="4"/>
            </w:tcBorders>
            <w:shd w:fill="C6EFCE" w:val="clear"/>
            <w:tcMar>
              <w:top w:type="dxa" w:w="50"/>
              <w:left w:type="dxa" w:w="80"/>
              <w:bottom w:type="dxa" w:w="50"/>
              <w:right w:type="dxa" w:w="80"/>
            </w:tcMar>
          </w:tcPr>
          <w:p>
            <w:r>
              <w:rPr>
                <w:rFonts w:ascii="Arial" w:cs="Arial" w:eastAsia="Arial" w:hAnsi="Arial"/>
                <w:b/>
                <w:bCs/>
                <w:sz w:val="17"/>
                <w:szCs w:val="17"/>
              </w:rPr>
              <w:t xml:space="preserve">YES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Five lessons distilled from the 18 recorded (engineering, business, GenAI limits, unexpected, future)  Gap: Lessons about GenAI limits come from the build process, not product use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bl>
    <w:p>
      <w:pPr>
        <w:pStyle w:val="Heading1"/>
        <w:spacing w:after="120" w:before="280"/>
      </w:pPr>
      <w:r>
        <w:rPr>
          <w:rFonts w:ascii="Arial" w:cs="Arial" w:eastAsia="Arial" w:hAnsi="Arial"/>
          <w:b/>
          <w:bCs/>
          <w:color w:val="1F3864"/>
          <w:sz w:val="30"/>
          <w:szCs w:val="30"/>
        </w:rPr>
        <w:t xml:space="preserve">5. Decisions and inputs needed from you</w:t>
      </w:r>
    </w:p>
    <w:p>
      <w:pPr>
        <w:spacing w:after="100"/>
      </w:pPr>
      <w:r>
        <w:rPr>
          <w:rFonts w:ascii="Arial" w:cs="Arial" w:eastAsia="Arial" w:hAnsi="Arial"/>
          <w:sz w:val="20"/>
          <w:szCs w:val="20"/>
        </w:rPr>
        <w:t xml:space="preserve">Ordered by impact on the capstone, not by engineering interest.</w:t>
      </w:r>
    </w:p>
    <w:p>
      <w:pPr>
        <w:spacing w:after="100"/>
      </w:pPr>
      <w:r>
        <w:rPr>
          <w:rFonts w:ascii="Arial" w:cs="Arial" w:eastAsia="Arial" w:hAnsi="Arial"/>
          <w:sz w:val="20"/>
          <w:szCs w:val="20"/>
        </w:rPr>
        <w:t>Decided on 25 Oct: AI stance (advisory OpenAI assistant, autonomy A1, recorded as OD-41), branding from the annual-report sample, demo on the local machine with Python 3.14. Still open:</w:t>
      </w:r>
    </w:p>
    <w:p>
      <w:pPr>
        <w:pStyle w:val="ListParagraph"/>
        <w:numPr>
          <w:ilvl w:val="0"/>
          <w:numId w:val="2"/>
        </w:numPr>
        <w:spacing w:after="60"/>
      </w:pPr>
      <w:r>
        <w:rPr>
          <w:rFonts w:ascii="Arial" w:cs="Arial" w:eastAsia="Arial" w:hAnsi="Arial"/>
          <w:sz w:val="20"/>
          <w:szCs w:val="20"/>
        </w:rPr>
        <w:t xml:space="preserve">A labelled question set to evaluate the assistant (RQ-1, #24).</w:t>
      </w:r>
    </w:p>
    <w:p>
      <w:pPr>
        <w:pStyle w:val="ListParagraph"/>
        <w:numPr>
          <w:ilvl w:val="0"/>
          <w:numId w:val="2"/>
        </w:numPr>
        <w:spacing w:after="60"/>
      </w:pPr>
      <w:r>
        <w:rPr>
          <w:rFonts w:ascii="Arial" w:cs="Arial" w:eastAsia="Arial" w:hAnsi="Arial"/>
          <w:sz w:val="20"/>
          <w:szCs w:val="20"/>
        </w:rPr>
        <w:t xml:space="preserve">Access to a second model for the semantic-layer portability run (#4, #14).</w:t>
      </w:r>
    </w:p>
    <w:p>
      <w:pPr>
        <w:pStyle w:val="ListParagraph"/>
        <w:numPr>
          <w:ilvl w:val="0"/>
          <w:numId w:val="2"/>
        </w:numPr>
        <w:spacing w:after="60"/>
      </w:pPr>
      <w:r>
        <w:rPr>
          <w:rFonts w:ascii="Arial" w:cs="Arial" w:eastAsia="Arial" w:hAnsi="Arial"/>
          <w:sz w:val="20"/>
          <w:szCs w:val="20"/>
        </w:rPr>
        <w:t xml:space="preserve">Whether to wire the built-but-unwired controls (#13).</w:t>
      </w:r>
    </w:p>
    <w:p>
      <w:pPr>
        <w:pStyle w:val="ListParagraph"/>
        <w:numPr>
          <w:ilvl w:val="0"/>
          <w:numId w:val="2"/>
        </w:numPr>
        <w:spacing w:after="60"/>
      </w:pPr>
      <w:r>
        <w:rPr>
          <w:rFonts w:ascii="Arial" w:cs="Arial" w:eastAsia="Arial" w:hAnsi="Arial"/>
          <w:sz w:val="20"/>
          <w:szCs w:val="20"/>
        </w:rPr>
        <w:t xml:space="preserve">A pilot or after-window for measured before-versus-after (#21, #23).</w:t>
      </w:r>
    </w:p>
    <w:p>
      <w:pPr>
        <w:pStyle w:val="ListParagraph"/>
        <w:numPr>
          <w:ilvl w:val="0"/>
          <w:numId w:val="2"/>
        </w:numPr>
        <w:spacing w:after="60"/>
      </w:pPr>
      <w:r>
        <w:rPr>
          <w:rFonts w:ascii="Arial" w:cs="Arial" w:eastAsia="Arial" w:hAnsi="Arial"/>
          <w:sz w:val="20"/>
          <w:szCs w:val="20"/>
        </w:rPr>
        <w:t xml:space="preserve">An official Birlasoft template, if one exists (#15).</w:t>
      </w:r>
    </w:p>
    <w:p>
      <w:pPr>
        <w:pStyle w:val="Heading1"/>
        <w:spacing w:after="120" w:before="280"/>
      </w:pPr>
      <w:r>
        <w:rPr>
          <w:rFonts w:ascii="Arial" w:cs="Arial" w:eastAsia="Arial" w:hAnsi="Arial"/>
          <w:b/>
          <w:bCs/>
          <w:color w:val="1F3864"/>
          <w:sz w:val="30"/>
          <w:szCs w:val="30"/>
        </w:rPr>
        <w:t xml:space="preserve">6. Companion deliverables</w:t>
      </w:r>
    </w:p>
    <w:p>
      <w:pPr>
        <w:pStyle w:val="ListParagraph"/>
        <w:numPr>
          <w:ilvl w:val="0"/>
          <w:numId w:val="3"/>
        </w:numPr>
        <w:spacing w:after="60"/>
      </w:pPr>
      <w:r>
        <w:rPr>
          <w:rFonts w:ascii="Arial" w:cs="Arial" w:eastAsia="Arial" w:hAnsi="Arial"/>
          <w:sz w:val="20"/>
          <w:szCs w:val="20"/>
        </w:rPr>
        <w:t xml:space="preserve">Capstone_28_Point_Tracker.xlsx (02_Excel_Tracker): live tracker, KPI before/after, lessons, hard Q&amp;A, run of show.</w:t>
      </w:r>
    </w:p>
    <w:p>
      <w:pPr>
        <w:pStyle w:val="ListParagraph"/>
        <w:numPr>
          <w:ilvl w:val="0"/>
          <w:numId w:val="3"/>
        </w:numPr>
        <w:spacing w:after="60"/>
      </w:pPr>
      <w:r>
        <w:rPr>
          <w:rFonts w:ascii="Arial" w:cs="Arial" w:eastAsia="Arial" w:hAnsi="Arial"/>
          <w:sz w:val="20"/>
          <w:szCs w:val="20"/>
        </w:rPr>
        <w:t xml:space="preserve">Executive_Defence_Briefing.docx: storytelling, problem to solution to impact, GenAI justification, KPIs, five lessons.</w:t>
      </w:r>
    </w:p>
    <w:p>
      <w:pPr>
        <w:pStyle w:val="ListParagraph"/>
        <w:numPr>
          <w:ilvl w:val="0"/>
          <w:numId w:val="3"/>
        </w:numPr>
        <w:spacing w:after="60"/>
      </w:pPr>
      <w:r>
        <w:rPr>
          <w:rFonts w:ascii="Arial" w:cs="Arial" w:eastAsia="Arial" w:hAnsi="Arial"/>
          <w:sz w:val="20"/>
          <w:szCs w:val="20"/>
        </w:rPr>
        <w:t xml:space="preserve">Demo_and_Presentation_Plan.docx: 40+10 run of show, demo runbook, pre-flight checklist.</w:t>
      </w:r>
    </w:p>
    <w:p>
      <w:pPr>
        <w:pStyle w:val="ListParagraph"/>
        <w:numPr>
          <w:ilvl w:val="0"/>
          <w:numId w:val="3"/>
        </w:numPr>
        <w:spacing w:after="60"/>
      </w:pPr>
      <w:r>
        <w:rPr>
          <w:rFonts w:ascii="Arial" w:cs="Arial" w:eastAsia="Arial" w:hAnsi="Arial"/>
          <w:sz w:val="20"/>
          <w:szCs w:val="20"/>
        </w:rPr>
        <w:t xml:space="preserve">semantic-layer/ (guideline #8): captured semantic layer with tests.</w:t>
      </w:r>
    </w:p>
    <w:p>
      <w:pPr>
        <w:pStyle w:val="ListParagraph"/>
        <w:numPr>
          <w:ilvl w:val="0"/>
          <w:numId w:val="3"/>
        </w:numPr>
        <w:spacing w:after="60"/>
      </w:pPr>
      <w:r>
        <w:rPr>
          <w:rFonts w:ascii="Arial" w:cs="Arial" w:eastAsia="Arial" w:hAnsi="Arial"/>
          <w:sz w:val="20"/>
          <w:szCs w:val="20"/>
        </w:rPr>
        <w:t xml:space="preserve">04_Quality_Command_Centre/: running UI over the hub with the OpenAI assistant (Python 3.14, standard library).</w:t>
      </w:r>
    </w:p>
    <w:p>
      <w:pPr>
        <w:pStyle w:val="ListParagraph"/>
        <w:numPr>
          <w:ilvl w:val="0"/>
          <w:numId w:val="3"/>
        </w:numPr>
        <w:spacing w:after="60"/>
      </w:pPr>
      <w:r>
        <w:rPr>
          <w:rFonts w:ascii="Arial" w:cs="Arial" w:eastAsia="Arial" w:hAnsi="Arial"/>
          <w:sz w:val="20"/>
          <w:szCs w:val="20"/>
        </w:rPr>
        <w:t xml:space="preserve">05_CTO_Presentation/GxP_Quality_Hub_CTO_Presentation.pptx: 31-slide deck for the CTO (Team Delta, before/now architecture), with speaker notes.</w:t>
      </w:r>
    </w:p>
    <w:p>
      <w:pPr>
        <w:pStyle w:val="ListParagraph"/>
      </w:pPr>
      <w:r>
        <w:rPr>
          <w:rFonts w:ascii="Arial" w:hAnsi="Arial"/>
          <w:sz w:val="20"/>
        </w:rPr>
        <w:t>Update 26 Oct 2026 (Stage 44, merged as PR #32, main e62c9b4): the hub itself now has an optional, off-by-default advisory document Q&amp;A that can use Azure OpenAI (decision OD-40 in the repo). It is separate from the Command Centre assistant (decision OD-41, which the repo log did not previously hold). It is disabled in the shipped configuration and needs an approval reference to enable. It answers only from hub search results with citations and uses synthetic data only. It was tested only against a local fake Azure server; no real Azure call was made, so it is not proven against a live deployment. The core decision path is still No-AI. Details: docs/44-genai-qa/ in the repo.</w:t>
      </w:r>
    </w:p>
    <w:sectPr>
      <w:footerReference w:type="default" r:id="rId6"/>
      <w:pgSz w:w="11906" w:h="16838" w:orient="portrait"/>
      <w:pgMar w:top="1100" w:right="1000" w:bottom="11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Capstone Readiness Report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2026-10-25T18:28:31.422Z</dcterms:created>
  <dcterms:modified xsi:type="dcterms:W3CDTF">2026-10-25T18:28:31.422Z</dcterms:modified>
</cp:coreProperties>
</file>

<file path=docProps/custom.xml><?xml version="1.0" encoding="utf-8"?>
<Properties xmlns="http://schemas.openxmlformats.org/officeDocument/2006/custom-properties" xmlns:vt="http://schemas.openxmlformats.org/officeDocument/2006/docPropsVTypes"/>
</file>