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Executive Defence Briefing</w:t>
      </w:r>
    </w:p>
    <w:p>
      <w:pPr>
        <w:spacing w:after="120"/>
      </w:pPr>
      <w:r>
        <w:rPr>
          <w:rFonts w:ascii="Arial" w:cs="Arial" w:eastAsia="Arial" w:hAnsi="Arial"/>
          <w:color w:val="595959"/>
          <w:sz w:val="22"/>
          <w:szCs w:val="22"/>
        </w:rPr>
        <w:t xml:space="preserve">Story, evidence and honest limits for the board-level presentation</w:t>
      </w:r>
    </w:p>
    <w:p>
      <w:pPr>
        <w:pBdr>
          <w:bottom w:val="single" w:color="1F3864" w:sz="8" w:space="4"/>
        </w:pBdr>
        <w:spacing w:after="200"/>
      </w:pPr>
      <w:r>
        <w:rPr>
          <w:rFonts w:ascii="Arial" w:cs="Arial" w:eastAsia="Arial" w:hAnsi="Arial"/>
          <w:i/>
          <w:iCs/>
          <w:sz w:val="17"/>
          <w:szCs w:val="17"/>
        </w:rPr>
        <w:t xml:space="preserve">Prepared 25 Oct 2026 for Dinesh Naik. Label: synthetic repository, unvalidated against any organisation. Every number is synthetic, unvalidated unless stated.</w:t>
      </w:r>
    </w:p>
    <w:p>
      <w:pPr>
        <w:pStyle w:val="Heading1"/>
        <w:spacing w:after="120" w:before="280"/>
      </w:pPr>
      <w:r>
        <w:rPr>
          <w:rFonts w:ascii="Arial" w:cs="Arial" w:eastAsia="Arial" w:hAnsi="Arial"/>
          <w:b/>
          <w:bCs/>
          <w:color w:val="1F3864"/>
          <w:sz w:val="30"/>
          <w:szCs w:val="30"/>
        </w:rPr>
        <w:t xml:space="preserve">1. The honest headline</w:t>
      </w:r>
    </w:p>
    <w:p>
      <w:pPr>
        <w:spacing w:after="100"/>
      </w:pPr>
      <w:r>
        <w:rPr>
          <w:rFonts w:ascii="Arial" w:cs="Arial" w:eastAsia="Arial" w:hAnsi="Arial"/>
          <w:sz w:val="20"/>
          <w:szCs w:val="20"/>
        </w:rPr>
        <w:t xml:space="preserve">We rebuilt the case-handling and partner-feed logic of a synthetic GxP quality estate into a No-AI, standard-library-only hub that runs beside the untouched legacy code, and tested it hard in a sandbox. It reproduces legacy behaviour where it should and adds controls the legacy code lacks. Every consequential switch is off. It is not released: the release gate is BLOCKED with 0 of 40 approvals. It has no users and no after-window, so no saving can be claimed, and ROI, NPV and payback are not computable.</w:t>
      </w:r>
    </w:p>
    <w:p>
      <w:pPr>
        <w:spacing w:after="100"/>
      </w:pPr>
      <w:r>
        <w:rPr>
          <w:rFonts w:ascii="Arial" w:cs="Arial" w:eastAsia="Arial" w:hAnsi="Arial"/>
          <w:b/>
          <w:bCs/>
          <w:sz w:val="20"/>
          <w:szCs w:val="20"/>
        </w:rPr>
        <w:t xml:space="preserve">What can be defended: the problem diagnosis, the decision to use no AI, the engineering discipline, and the honesty of the evidence.</w:t>
      </w:r>
    </w:p>
    <w:p>
      <w:pPr>
        <w:spacing w:after="100"/>
      </w:pPr>
      <w:r>
        <w:rPr>
          <w:rFonts w:ascii="Arial" w:cs="Arial" w:eastAsia="Arial" w:hAnsi="Arial"/>
          <w:i/>
          <w:iCs/>
          <w:sz w:val="20"/>
          <w:szCs w:val="20"/>
        </w:rPr>
        <w:t xml:space="preserve">Covers guidelines #16, #19 to #22, #24, #27 and #28.</w:t>
      </w:r>
    </w:p>
    <w:p>
      <w:pPr>
        <w:pStyle w:val="Heading1"/>
        <w:spacing w:after="120" w:before="280"/>
      </w:pPr>
      <w:r>
        <w:rPr>
          <w:rFonts w:ascii="Arial" w:cs="Arial" w:eastAsia="Arial" w:hAnsi="Arial"/>
          <w:b/>
          <w:bCs/>
          <w:color w:val="1F3864"/>
          <w:sz w:val="30"/>
          <w:szCs w:val="30"/>
        </w:rPr>
        <w:t xml:space="preserve">2. Storytelling arc (guideline #20)</w:t>
      </w:r>
    </w:p>
    <w:p>
      <w:pPr>
        <w:pStyle w:val="ListParagraph"/>
        <w:numPr>
          <w:ilvl w:val="0"/>
          <w:numId w:val="2"/>
        </w:numPr>
        <w:spacing w:after="60"/>
      </w:pPr>
      <w:r>
        <w:rPr>
          <w:rFonts w:ascii="Arial" w:cs="Arial" w:eastAsia="Arial" w:hAnsi="Arial"/>
          <w:sz w:val="20"/>
          <w:szCs w:val="20"/>
        </w:rPr>
        <w:t xml:space="preserve">The problem is structural: eight confirmed root causes. The legacy month-end total is 742,956.61 against 622,826.44 from a single query, a 19.3 % join fan-out. 97.98 % of partner-feed rows match no case (test residue).</w:t>
      </w:r>
    </w:p>
    <w:p>
      <w:pPr>
        <w:pStyle w:val="ListParagraph"/>
        <w:numPr>
          <w:ilvl w:val="0"/>
          <w:numId w:val="2"/>
        </w:numPr>
        <w:spacing w:after="60"/>
      </w:pPr>
      <w:r>
        <w:rPr>
          <w:rFonts w:ascii="Arial" w:cs="Arial" w:eastAsia="Arial" w:hAnsi="Arial"/>
          <w:sz w:val="20"/>
          <w:szCs w:val="20"/>
        </w:rPr>
        <w:t xml:space="preserve">The baseline is weak: 22 KPIs, 16 synthetic values, 6 Unknown, freeze unsigned.</w:t>
      </w:r>
    </w:p>
    <w:p>
      <w:pPr>
        <w:pStyle w:val="ListParagraph"/>
        <w:numPr>
          <w:ilvl w:val="0"/>
          <w:numId w:val="2"/>
        </w:numPr>
        <w:spacing w:after="60"/>
      </w:pPr>
      <w:r>
        <w:rPr>
          <w:rFonts w:ascii="Arial" w:cs="Arial" w:eastAsia="Arial" w:hAnsi="Arial"/>
          <w:sz w:val="20"/>
          <w:szCs w:val="20"/>
        </w:rPr>
        <w:t xml:space="preserve">We decided No-AI, argued from the root causes, with re-qualification triggers.</w:t>
      </w:r>
    </w:p>
    <w:p>
      <w:pPr>
        <w:pStyle w:val="ListParagraph"/>
        <w:numPr>
          <w:ilvl w:val="0"/>
          <w:numId w:val="2"/>
        </w:numPr>
        <w:spacing w:after="60"/>
      </w:pPr>
      <w:r>
        <w:rPr>
          <w:rFonts w:ascii="Arial" w:cs="Arial" w:eastAsia="Arial" w:hAnsi="Arial"/>
          <w:sz w:val="20"/>
          <w:szCs w:val="20"/>
        </w:rPr>
        <w:t xml:space="preserve">We built a modular, additive, deterministic hub with a human approval gate (Zone H) and a hash-chained audit trail.</w:t>
      </w:r>
    </w:p>
    <w:p>
      <w:pPr>
        <w:pStyle w:val="ListParagraph"/>
        <w:numPr>
          <w:ilvl w:val="0"/>
          <w:numId w:val="2"/>
        </w:numPr>
        <w:spacing w:after="60"/>
      </w:pPr>
      <w:r>
        <w:rPr>
          <w:rFonts w:ascii="Arial" w:cs="Arial" w:eastAsia="Arial" w:hAnsi="Arial"/>
          <w:sz w:val="20"/>
          <w:szCs w:val="20"/>
        </w:rPr>
        <w:t xml:space="preserve">We attacked it and it was not clean: 11 findings, one High, seven fixed.</w:t>
      </w:r>
    </w:p>
    <w:p>
      <w:pPr>
        <w:pStyle w:val="ListParagraph"/>
        <w:numPr>
          <w:ilvl w:val="0"/>
          <w:numId w:val="2"/>
        </w:numPr>
        <w:spacing w:after="60"/>
      </w:pPr>
      <w:r>
        <w:rPr>
          <w:rFonts w:ascii="Arial" w:cs="Arial" w:eastAsia="Arial" w:hAnsi="Arial"/>
          <w:sz w:val="20"/>
          <w:szCs w:val="20"/>
        </w:rPr>
        <w:t xml:space="preserve">We prepared a release and could not execute it: NO-GO, 0 of 40 approvals.</w:t>
      </w:r>
    </w:p>
    <w:p>
      <w:pPr>
        <w:pStyle w:val="ListParagraph"/>
        <w:numPr>
          <w:ilvl w:val="0"/>
          <w:numId w:val="2"/>
        </w:numPr>
        <w:spacing w:after="60"/>
      </w:pPr>
      <w:r>
        <w:rPr>
          <w:rFonts w:ascii="Arial" w:cs="Arial" w:eastAsia="Arial" w:hAnsi="Arial"/>
          <w:sz w:val="20"/>
          <w:szCs w:val="20"/>
        </w:rPr>
        <w:t xml:space="preserve">We looked for value and found none that can be stated.</w:t>
      </w:r>
    </w:p>
    <w:p>
      <w:pPr>
        <w:pStyle w:val="Heading1"/>
        <w:spacing w:after="120" w:before="280"/>
      </w:pPr>
      <w:r>
        <w:rPr>
          <w:rFonts w:ascii="Arial" w:cs="Arial" w:eastAsia="Arial" w:hAnsi="Arial"/>
          <w:b/>
          <w:bCs/>
          <w:color w:val="1F3864"/>
          <w:sz w:val="30"/>
          <w:szCs w:val="30"/>
        </w:rPr>
        <w:t xml:space="preserve">3. Problem to solution to impact (guideline #21)</w:t>
      </w:r>
    </w:p>
    <w:p>
      <w:pPr>
        <w:spacing w:after="100"/>
      </w:pPr>
      <w:r>
        <w:rPr>
          <w:rFonts w:ascii="Arial" w:cs="Arial" w:eastAsia="Arial" w:hAnsi="Arial"/>
          <w:sz w:val="20"/>
          <w:szCs w:val="20"/>
        </w:rPr>
        <w:t xml:space="preserve">The chain holds from symptom to control and breaks at measured outcome, because there is no after-window.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5400"/>
        <w:gridCol w:w="29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Link</w:t>
            </w:r>
          </w:p>
        </w:tc>
        <w:tc>
          <w:tcPr>
            <w:tcW w:type="dxa" w:w="54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Content</w:t>
            </w:r>
          </w:p>
        </w:tc>
        <w:tc>
          <w:tcPr>
            <w:tcW w:type="dxa" w:w="29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Does evidence hold?</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 Symptoms</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Claimed rising exception effort (S1, no trend data); feed data inconsistent with core records (synthetic residue); "closed" means different things; a 2025 replay inflated the exception queue and caused a rollback; finance and operations cut-offs disagree</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Claims exist in synthetic documents; truth Unknown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 Root causes</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RC-1..RC-8 (no decision record, mutable state, unowned definition, three approval rules, manual execution, destructive intake, no shared identity, no shared month-end definition)</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Yes at repo level; not for delay, cost or effort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3 Baseline</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22 KPIs, 16 synthetic values, 6 Unknown, freeze unsigned</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Partly: method validated, magnitudes not decision-grade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4 Intervention choice</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No-AI package: process decisions, deterministic core, scheduled runs (held off), shared metric definitions, rules/search/templates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Yes; approved by Dinesh</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5 Build</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hub/ modular monolith, additive, stdlib</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Yes in sandbox</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6 Controls</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Zone H gate, hash-chained audit, definition tags, replay safety, quarantine, tripwires</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Mechanisms tested; not exercised by a real holder</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7 Measured outcome</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Sandbox only: 3 parity pairs, K-03 4 of 4 tagged, K-07 replay ok: true in a sandbox run</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Breaks here: no after-window, no users</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8 Value</w:t>
            </w:r>
          </w:p>
        </w:tc>
        <w:tc>
          <w:tcPr>
            <w:tcW w:type="dxa" w:w="5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Zero verified benefits; ROI, NPV, payback not computable</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Not established</w:t>
            </w:r>
          </w:p>
        </w:tc>
      </w:tr>
    </w:tbl>
    <w:p>
      <w:pPr>
        <w:spacing w:after="80"/>
      </w:pPr>
    </w:p>
    <w:p>
      <w:pPr>
        <w:pStyle w:val="Heading2"/>
        <w:spacing w:after="80" w:before="200"/>
      </w:pPr>
      <w:r>
        <w:rPr>
          <w:rFonts w:ascii="Arial" w:cs="Arial" w:eastAsia="Arial" w:hAnsi="Arial"/>
          <w:b/>
          <w:bCs/>
          <w:color w:val="2F5496"/>
          <w:sz w:val="24"/>
          <w:szCs w:val="24"/>
        </w:rPr>
        <w:t xml:space="preserve">Root cause to mechanism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300"/>
        <w:gridCol w:w="2500"/>
      </w:tblGrid>
      <w:tr>
        <w:trPr>
          <w:tblHeader/>
        </w:trPr>
        <w:tc>
          <w:tcPr>
            <w:tcW w:type="dxa" w:w="10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Root cause</w:t>
            </w:r>
          </w:p>
        </w:tc>
        <w:tc>
          <w:tcPr>
            <w:tcW w:type="dxa" w:w="30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Hub mechanism (built)</w:t>
            </w:r>
          </w:p>
        </w:tc>
        <w:tc>
          <w:tcPr>
            <w:tcW w:type="dxa" w:w="33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Evidence of mechanism</w:t>
            </w:r>
          </w:p>
        </w:tc>
        <w:tc>
          <w:tcPr>
            <w:tcW w:type="dxa" w:w="2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Evidence of effect</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RC-1 decision record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Append-only decision events with actor and basis; Zone H gate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Tests and attack suite; mutants M1, M2 killed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(0 human dispositions, 0 holders)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RC-2 mutable state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Append-only events, projections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Backfill: 125 imported, 0 projection mismatches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RC-3 unowned definition</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Candidate policies, definition tags on metrics; verdicts return not_available_no_adopted_policy</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K-03 4 of 4 tagged values (sandbox)</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decision DR-20/21 still nobody's (accepted open)</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RC-4 three rules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Single rule service; as-found rule sets loaded inactive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Inactive by design</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activation needs a human decision and holders</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RC-5 manual execution</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Idempotent runs and run records; scheduler OFF</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Mechanism tests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 scheduler deliberately off</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RC-6 destructive intake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Raw store, content-hash idempotency, quarantine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Replay safety: 8,567 re-delivered rows all NOOP_DUPLICATE, queues unchanged (sandbox)</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RC-7 no shared identity</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Explicit crosswalk, exact-key matching</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8,109 exceptions on shadow intake (7,903 UNMATCHED_REF) show the legacy data does not link, as expected for test residue</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RC-8 month-end definitions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One metrics query path, exact decimals</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Month-end total 622,826.44 vs legacy SQL 742,956.61 (DV-01, unapproved)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None</w:t>
            </w:r>
          </w:p>
        </w:tc>
      </w:tr>
    </w:tbl>
    <w:p>
      <w:pPr>
        <w:spacing w:after="100"/>
      </w:pPr>
      <w:r>
        <w:rPr>
          <w:rFonts w:ascii="Arial" w:cs="Arial" w:eastAsia="Arial" w:hAnsi="Arial"/>
          <w:i/>
          <w:iCs/>
          <w:sz w:val="20"/>
          <w:szCs w:val="20"/>
        </w:rPr>
        <w:t xml:space="preserve">This is an argument from design, not a result.</w:t>
      </w:r>
    </w:p>
    <w:p>
      <w:pPr>
        <w:pStyle w:val="Heading1"/>
        <w:spacing w:after="120" w:before="280"/>
      </w:pPr>
      <w:r>
        <w:rPr>
          <w:rFonts w:ascii="Arial" w:cs="Arial" w:eastAsia="Arial" w:hAnsi="Arial"/>
          <w:b/>
          <w:bCs/>
          <w:color w:val="1F3864"/>
          <w:sz w:val="30"/>
          <w:szCs w:val="30"/>
        </w:rPr>
        <w:t xml:space="preserve">4. Business and technical balance (guideline #22)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tblHeader/>
        </w:trPr>
        <w:tc>
          <w:tcPr>
            <w:tcW w:type="dxa" w:w="49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Business side</w:t>
            </w:r>
          </w:p>
        </w:tc>
        <w:tc>
          <w:tcPr>
            <w:tcW w:type="dxa" w:w="49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Technical side</w:t>
            </w:r>
          </w:p>
        </w:tc>
      </w:tr>
      <w:tr>
        <w:trPr>
          <w:cantSplit/>
        </w:trPr>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Personas and decision owners</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Modular monolith, stdlib only, 204 Python files</w:t>
            </w:r>
          </w:p>
        </w:tc>
      </w:tr>
      <w:tr>
        <w:trPr>
          <w:cantSplit/>
        </w:trPr>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22 KPIs and baseline</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48-operation API, 16 JSON schemas, 18 ADRs</w:t>
            </w:r>
          </w:p>
        </w:tc>
      </w:tr>
      <w:tr>
        <w:trPr>
          <w:cantSplit/>
        </w:trPr>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Value hypothesis and why it is unproven</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134/134 characterisation checks, mutation gate 15/15</w:t>
            </w:r>
          </w:p>
        </w:tc>
      </w:tr>
      <w:tr>
        <w:trPr>
          <w:cantSplit/>
        </w:trPr>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The 14 decisions only the owner can make</w:t>
            </w:r>
          </w:p>
        </w:tc>
        <w:tc>
          <w:tcPr>
            <w:tcW w:type="dxa" w:w="4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Zone H gate, hash-chained audit, replay safety</w:t>
            </w:r>
          </w:p>
        </w:tc>
      </w:tr>
    </w:tbl>
    <w:p>
      <w:pPr>
        <w:spacing w:after="100"/>
      </w:pPr>
      <w:r>
        <w:rPr>
          <w:rFonts w:ascii="Arial" w:cs="Arial" w:eastAsia="Arial" w:hAnsi="Arial"/>
          <w:sz w:val="20"/>
          <w:szCs w:val="20"/>
        </w:rPr>
        <w:t xml:space="preserve">Suggested slide budget: equal weight, with the value and release-status slides on the business side kept in the first third.</w:t>
      </w:r>
    </w:p>
    <w:p>
      <w:pPr>
        <w:pStyle w:val="Heading1"/>
        <w:spacing w:after="120" w:before="280"/>
      </w:pPr>
      <w:r>
        <w:rPr>
          <w:rFonts w:ascii="Arial" w:cs="Arial" w:eastAsia="Arial" w:hAnsi="Arial"/>
          <w:b/>
          <w:bCs/>
          <w:color w:val="1F3864"/>
          <w:sz w:val="30"/>
          <w:szCs w:val="30"/>
        </w:rPr>
        <w:t xml:space="preserve">5. Where GenAI was and was not justified (guideline #24)</w:t>
      </w:r>
    </w:p>
    <w:p>
      <w:pPr>
        <w:spacing w:after="100"/>
      </w:pPr>
      <w:r>
        <w:rPr>
          <w:rFonts w:ascii="Arial" w:cs="Arial" w:eastAsia="Arial" w:hAnsi="Arial"/>
          <w:sz w:val="20"/>
          <w:szCs w:val="20"/>
        </w:rPr>
        <w:t>The decision path stays No-AI by an approved decision (OD-08): counting, classifying, deciding and recording are deterministic. On 25 Oct an advisory OpenAI assistant was added on top (OD-41, autonomy A1): it explains cases, exceptions and definitions with citations and refuses action requests before any model call. AI coding assistants were used to build the hub; that is development tooling and is kept separate in the story.</w:t>
      </w:r>
    </w:p>
    <w:p>
      <w:pPr>
        <w:pStyle w:val="ListParagraph"/>
        <w:numPr>
          <w:ilvl w:val="0"/>
          <w:numId w:val="3"/>
        </w:numPr>
        <w:spacing w:after="60"/>
      </w:pPr>
      <w:r>
        <w:rPr>
          <w:rFonts w:ascii="Arial" w:cs="Arial" w:eastAsia="Arial" w:hAnsi="Arial"/>
          <w:sz w:val="20"/>
          <w:szCs w:val="20"/>
        </w:rPr>
        <w:t xml:space="preserve">All eight root causes are absences or design defects; none is about interpreting unstructured input.</w:t>
      </w:r>
    </w:p>
    <w:p>
      <w:pPr>
        <w:pStyle w:val="ListParagraph"/>
        <w:numPr>
          <w:ilvl w:val="0"/>
          <w:numId w:val="3"/>
        </w:numPr>
        <w:spacing w:after="60"/>
      </w:pPr>
      <w:r>
        <w:rPr>
          <w:rFonts w:ascii="Arial" w:cs="Arial" w:eastAsia="Arial" w:hAnsi="Arial"/>
          <w:sz w:val="20"/>
          <w:szCs w:val="20"/>
        </w:rPr>
        <w:t xml:space="preserve">RC-3 (no owned definition of closed) is a governance decision; AI cannot supply an owner.</w:t>
      </w:r>
    </w:p>
    <w:p>
      <w:pPr>
        <w:pStyle w:val="ListParagraph"/>
        <w:numPr>
          <w:ilvl w:val="0"/>
          <w:numId w:val="3"/>
        </w:numPr>
        <w:spacing w:after="60"/>
      </w:pPr>
      <w:r>
        <w:rPr>
          <w:rFonts w:ascii="Arial" w:cs="Arial" w:eastAsia="Arial" w:hAnsi="Arial"/>
          <w:sz w:val="20"/>
          <w:szCs w:val="20"/>
        </w:rPr>
        <w:t xml:space="preserve">Feed content is categorical and tiny: 11 fixed keys in 8,567 of 8,567 rows.</w:t>
      </w:r>
    </w:p>
    <w:p>
      <w:pPr>
        <w:pStyle w:val="ListParagraph"/>
        <w:numPr>
          <w:ilvl w:val="0"/>
          <w:numId w:val="3"/>
        </w:numPr>
        <w:spacing w:after="60"/>
      </w:pPr>
      <w:r>
        <w:rPr>
          <w:rFonts w:ascii="Arial" w:cs="Arial" w:eastAsia="Arial" w:hAnsi="Arial"/>
          <w:sz w:val="20"/>
          <w:szCs w:val="20"/>
        </w:rPr>
        <w:t xml:space="preserve">Instruction-like strings exist in the data (86 feed rows, 22 of 1,200 documents), so an LLM consumer adds an injection risk that rules do not.</w:t>
      </w:r>
    </w:p>
    <w:p>
      <w:pPr>
        <w:pStyle w:val="ListParagraph"/>
        <w:numPr>
          <w:ilvl w:val="0"/>
          <w:numId w:val="3"/>
        </w:numPr>
        <w:spacing w:after="60"/>
      </w:pPr>
      <w:r>
        <w:rPr>
          <w:rFonts w:ascii="Arial" w:cs="Arial" w:eastAsia="Arial" w:hAnsi="Arial"/>
          <w:sz w:val="20"/>
          <w:szCs w:val="20"/>
        </w:rPr>
        <w:t xml:space="preserve">The decision does not change with token price set to zero.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180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Touchpoint</w:t>
            </w:r>
          </w:p>
        </w:tc>
        <w:tc>
          <w:tcPr>
            <w:tcW w:type="dxa" w:w="4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Outcome</w:t>
            </w:r>
          </w:p>
        </w:tc>
        <w:tc>
          <w:tcPr>
            <w:tcW w:type="dxa" w:w="18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Confidence</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T1 case triage explanation</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Rules, rule-trace text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High</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T2 partner-feed exception classification</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Rules with reason codes and quarantine, no ML</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High (synthetic) / Medium (real)</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T3 document Q&amp;A</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Keyword/field search now (R2, switched off by default); AI-assisted not selected; conditional via RQ-1..RQ-3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Medium</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T4 deviation/CAPA narrative</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Rules/template; generation not selected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Medium</w:t>
            </w:r>
          </w:p>
        </w:tc>
      </w:tr>
      <w:tr>
        <w:trPr>
          <w:cantSplit/>
        </w:trPr>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T5 cross-store investigation</w:t>
            </w:r>
          </w:p>
        </w:tc>
        <w:tc>
          <w:tcPr>
            <w:tcW w:type="dxa" w:w="4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Rules (crosswalk); agentic rejected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High</w:t>
            </w:r>
          </w:p>
        </w:tc>
      </w:tr>
    </w:tbl>
    <w:p>
      <w:pPr>
        <w:spacing w:after="100"/>
      </w:pPr>
      <w:r>
        <w:rPr>
          <w:rFonts w:ascii="Arial" w:cs="Arial" w:eastAsia="Arial" w:hAnsi="Arial"/>
          <w:i/>
          <w:iCs/>
          <w:sz w:val="20"/>
          <w:szCs w:val="20"/>
        </w:rPr>
        <w:t xml:space="preserve">Not tested against reality: a real document corpus, search recall on a labelled question set, reviewer time saved, user need. Re-qualification triggers RQ-1 to RQ-3 stay open.</w:t>
      </w:r>
    </w:p>
    <w:p>
      <w:pPr>
        <w:spacing w:after="100"/>
      </w:pPr>
      <w:r>
        <w:rPr>
          <w:rFonts w:ascii="Arial" w:cs="Arial" w:eastAsia="Arial" w:hAnsi="Arial"/>
          <w:b/>
          <w:bCs/>
          <w:sz w:val="20"/>
          <w:szCs w:val="20"/>
        </w:rPr>
        <w:t xml:space="preserve">Attribution: every measured improvement came from traditional engineering. The assistant adds grounded explanation for reviewers; its value is not yet measured (needs a labelled question set, RQ-1).</w:t>
      </w:r>
    </w:p>
    <w:p>
      <w:pPr>
        <w:pStyle w:val="Heading1"/>
        <w:spacing w:after="120" w:before="280"/>
      </w:pPr>
      <w:r>
        <w:rPr>
          <w:rFonts w:ascii="Arial" w:cs="Arial" w:eastAsia="Arial" w:hAnsi="Arial"/>
          <w:b/>
          <w:bCs/>
          <w:color w:val="1F3864"/>
          <w:sz w:val="30"/>
          <w:szCs w:val="30"/>
        </w:rPr>
        <w:t xml:space="preserve">6. Before versus after KPIs (guideline #23)</w:t>
      </w:r>
    </w:p>
    <w:p>
      <w:pPr>
        <w:spacing w:after="100"/>
      </w:pPr>
      <w:r>
        <w:rPr>
          <w:rFonts w:ascii="Arial" w:cs="Arial" w:eastAsia="Arial" w:hAnsi="Arial"/>
          <w:sz w:val="20"/>
          <w:szCs w:val="20"/>
        </w:rPr>
        <w:t xml:space="preserve">Rule: any number shown carries one of "synthetic, unvalidated", "sandbox", "agent assumption" or "Unknown". Colour-code by comparability when charting.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200"/>
        <w:gridCol w:w="2500"/>
      </w:tblGrid>
      <w:tr>
        <w:trPr>
          <w:tblHeader/>
        </w:trPr>
        <w:tc>
          <w:tcPr>
            <w:tcW w:type="dxa" w:w="29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KPI</w:t>
            </w:r>
          </w:p>
        </w:tc>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Before (baseline)</w:t>
            </w:r>
          </w:p>
        </w:tc>
        <w:tc>
          <w:tcPr>
            <w:tcW w:type="dxa" w:w="2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After (sandbox)</w:t>
            </w:r>
          </w:p>
        </w:tc>
        <w:tc>
          <w:tcPr>
            <w:tcW w:type="dxa" w:w="2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Reading</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K-09-OPS Backlog (not closed cases)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89 of 125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89 of 125 (same)</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Parity only. Not an improvement.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K-15 Reopen rate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6.4 %</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6.4 % (parity)</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Parity only.</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K-07 Replay safety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Untested in legacy; 67 REPLAY rows exist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Delta 0 after re-delivering 8,567 rows</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Mechanism evidence, sandbox.</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K-11 Decisions recorded</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 of 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2 of 2 (as accepted open)</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Records that nobody decided. Not a resolution.</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K-03 Definition transparency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 of 6</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4 of 4 tagged</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Not like-for-like (different denominators).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K-04, K-05, K-22 Time to close, to evidence, rework effort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Unknown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Unknown</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 timestamps or effort capture exist.</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K-21 Adoption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 of 125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0 of 125</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 users. No after-window.</w:t>
            </w:r>
          </w:p>
        </w:tc>
      </w:tr>
    </w:tbl>
    <w:p>
      <w:pPr>
        <w:pStyle w:val="Heading1"/>
        <w:spacing w:after="120" w:before="280"/>
      </w:pPr>
      <w:r>
        <w:rPr>
          <w:rFonts w:ascii="Arial" w:cs="Arial" w:eastAsia="Arial" w:hAnsi="Arial"/>
          <w:b/>
          <w:bCs/>
          <w:color w:val="1F3864"/>
          <w:sz w:val="30"/>
          <w:szCs w:val="30"/>
        </w:rPr>
        <w:t xml:space="preserve">7. Five lessons learned (guideline #28)</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6600"/>
        <w:gridCol w:w="170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Theme</w:t>
            </w:r>
          </w:p>
        </w:tc>
        <w:tc>
          <w:tcPr>
            <w:tcW w:type="dxa" w:w="6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Lesson</w:t>
            </w:r>
          </w:p>
        </w:tc>
        <w:tc>
          <w:tcPr>
            <w:tcW w:type="dxa" w:w="17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Evidence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Engineering</w:t>
            </w:r>
          </w:p>
        </w:tc>
        <w:tc>
          <w:tcPr>
            <w:tcW w:type="dxa" w:w="6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Independent full regression before merge catches what the builders miss. Four late defects were found by the orchestrator, not the author.</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LL-01, LL-13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Business</w:t>
            </w:r>
          </w:p>
        </w:tc>
        <w:tc>
          <w:tcPr>
            <w:tcW w:type="dxa" w:w="6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Value was never quantified at framing, so there was nothing to compute later. A value case without volumes, a rate and time capture is a hypothesis.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LL-09, LL-14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GenAI limits</w:t>
            </w:r>
          </w:p>
        </w:tc>
        <w:tc>
          <w:tcPr>
            <w:tcW w:type="dxa" w:w="6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Qualify AI against the root causes, not fashion. The causes were missing owners, keys and records, so AI scored lowest; AI assistants built the system but could not be trusted to self-check.</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LL-07, LL-17, LL-01</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Unexpected</w:t>
            </w:r>
          </w:p>
        </w:tc>
        <w:tc>
          <w:tcPr>
            <w:tcW w:type="dxa" w:w="6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The baseline was synthetic residue: 97.98 % of feed rows point at cases that do not exist, and many KPIs ended Unknown.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LL-08</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Future</w:t>
            </w:r>
          </w:p>
        </w:tc>
        <w:tc>
          <w:tcPr>
            <w:tcW w:type="dxa" w:w="6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Wire controls as a gate of the build stage, capture time and effort from day one, and appoint a second reviewer.</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LL-12, LL-10, LL-11</w:t>
            </w:r>
          </w:p>
        </w:tc>
      </w:tr>
    </w:tbl>
    <w:p>
      <w:pPr>
        <w:pStyle w:val="Heading1"/>
        <w:spacing w:after="120" w:before="280"/>
      </w:pPr>
      <w:r>
        <w:rPr>
          <w:rFonts w:ascii="Arial" w:cs="Arial" w:eastAsia="Arial" w:hAnsi="Arial"/>
          <w:b/>
          <w:bCs/>
          <w:color w:val="1F3864"/>
          <w:sz w:val="30"/>
          <w:szCs w:val="30"/>
        </w:rPr>
        <w:t xml:space="preserve">8. Words not to say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Avoid</w:t>
            </w:r>
          </w:p>
        </w:tc>
        <w:tc>
          <w:tcPr>
            <w:tcW w:type="dxa" w:w="5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Why</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production-ready, go-live, deployed</w:t>
            </w:r>
          </w:p>
        </w:tc>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Release is BLOCKED, nothing cut over</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saves X hours or X %</w:t>
            </w:r>
          </w:p>
        </w:tc>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 after-window, no time capture</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GxP compliant, Part 11 compliant, audit-ready</w:t>
            </w:r>
          </w:p>
        </w:tc>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Part 11 is framing only (OD-30)</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AI-powered</w:t>
            </w:r>
          </w:p>
        </w:tc>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Product is No-AI</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proven, verified benefits</w:t>
            </w:r>
          </w:p>
        </w:tc>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Zero verified benefits</w:t>
            </w:r>
          </w:p>
        </w:tc>
      </w:tr>
      <w:tr>
        <w:trPr>
          <w:cantSplit/>
        </w:trPr>
        <w:tc>
          <w:tcPr>
            <w:tcW w:type="dxa" w:w="4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secure (unqualified)</w:t>
            </w:r>
          </w:p>
        </w:tc>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Say "loopback, synthetic, shadow only"</w:t>
            </w:r>
          </w:p>
        </w:tc>
      </w:tr>
    </w:tbl>
    <w:p>
      <w:pPr>
        <w:pStyle w:val="Heading1"/>
        <w:spacing w:after="120" w:before="280"/>
      </w:pPr>
      <w:r>
        <w:rPr>
          <w:rFonts w:ascii="Arial" w:cs="Arial" w:eastAsia="Arial" w:hAnsi="Arial"/>
          <w:b/>
          <w:bCs/>
          <w:color w:val="1F3864"/>
          <w:sz w:val="30"/>
          <w:szCs w:val="30"/>
        </w:rPr>
        <w:t xml:space="preserve">9. Ten hard questions with defensible answers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800"/>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Question</w:t>
            </w:r>
          </w:p>
        </w:tc>
        <w:tc>
          <w:tcPr>
            <w:tcW w:type="dxa" w:w="6800"/>
            <w:tcBorders>
              <w:top w:val="single" w:color="BFBFBF" w:sz="4"/>
              <w:left w:val="single" w:color="BFBFBF" w:sz="4"/>
              <w:bottom w:val="single" w:color="BFBFBF" w:sz="4"/>
              <w:right w:val="single" w:color="BFBFBF" w:sz="4"/>
            </w:tcBorders>
            <w:shd w:fill="1F3864" w:val="clear"/>
            <w:tcMar>
              <w:top w:type="dxa" w:w="50"/>
              <w:left w:type="dxa" w:w="80"/>
              <w:bottom w:type="dxa" w:w="50"/>
              <w:right w:type="dxa" w:w="80"/>
            </w:tcMar>
          </w:tcPr>
          <w:p>
            <w:r>
              <w:rPr>
                <w:rFonts w:ascii="Arial" w:cs="Arial" w:eastAsia="Arial" w:hAnsi="Arial"/>
                <w:b/>
                <w:bCs/>
                <w:color w:val="FFFFFF"/>
                <w:sz w:val="17"/>
                <w:szCs w:val="17"/>
              </w:rPr>
              <w:t xml:space="preserve">Answer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What is the ROI?</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Not computable. There are zero verified benefits, one of ten cost terms is measured (model spend USD 0 by design), and no discount rate exists. We will not offer a number.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Q2</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How much time or money does it save?</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Unknown, not yet measured. There is no after-window, no time capture, no labour rate and no volume. The only hours-per-case figure (0.603) is a generator estimate.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Q3</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Who is using it?</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Nobody. Adoption is 0 of 125 cases and there are 0 principals. It runs only in a sandbox.</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Q4</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Why is it not live?</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The release gate is BLOCKED by design: 0 of 40 required human approvals, golden comparison fails until 11 behaviour differences are decided, monitoring has no persisted metrics or alerts, and High findings lack recorded decisions.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Q5</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The dashboards say parity. Is that good?</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Parity means the hub reproduces the legacy count from an imported copy of the same data. It is not improvement. We claim no improvement.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Q6</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Are the baseline numbers real?</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No. They are measured on a synthetic, test-residue database. 97.98 % of partner-feed rows reference cases that do not exist in it. They validate the method only.</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Q7</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Why no AI? Is that a failure of ambition?</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The root causes are missing owners, keys and records; AI cannot supply an owner, and an LLM consumer adds an injection risk (86 feed rows and 22 of 1,200 documents carry instruction-like strings). AI can be re-qualified through RQ-1..RQ-3 if real documents and a measured keyword-search shortfall appear.</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Q8</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Is it GxP / Part 11 compliant?</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We make no compliance claim. Part 11 is framing only; no regulation clause or auditor requirement beyond what earlier stages cite was added.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Q9</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Is it secure?</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Secure enough for synthetic data on loopback in shadow mode, no more. No TLS, single-factor passwords, 16 residual risks open, no external penetration test. It must not take real data or network exposure yet.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Q10</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What did testing find?</w:t>
            </w:r>
          </w:p>
        </w:tc>
        <w:tc>
          <w:tcPr>
            <w:tcW w:type="dxa" w:w="68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Arial" w:cs="Arial" w:eastAsia="Arial" w:hAnsi="Arial"/>
                <w:b w:val="false"/>
                <w:bCs w:val="false"/>
                <w:sz w:val="17"/>
                <w:szCs w:val="17"/>
              </w:rPr>
              <w:t xml:space="preserve">11 findings, one High; seven fixed in Stage 27, three test gaps closed (the three surviving mutants were killed: 13 of 13), one open plus nine complex functions. Mutation sampling covers only 13 chosen mutants. Reviewer walkthroughs are unsigned.</w:t>
            </w:r>
          </w:p>
        </w:tc>
      </w:tr>
    </w:tbl>
    <w:p>
      <w:pPr>
        <w:spacing w:after="100"/>
      </w:pPr>
      <w:r>
        <w:rPr>
          <w:rFonts w:ascii="Arial" w:cs="Arial" w:eastAsia="Arial" w:hAnsi="Arial"/>
          <w:i/>
          <w:iCs/>
          <w:sz w:val="20"/>
          <w:szCs w:val="20"/>
        </w:rPr>
        <w:t xml:space="preserve">All 20 prepared answers are in the Excel tracker (Hard Q&amp;A sheet).</w:t>
      </w:r>
    </w:p>
    <w:p>
      <w:pPr>
        <w:pStyle w:val="Heading1"/>
        <w:spacing w:after="120" w:before="280"/>
      </w:pPr>
      <w:r>
        <w:rPr>
          <w:rFonts w:ascii="Arial" w:cs="Arial" w:eastAsia="Arial" w:hAnsi="Arial"/>
          <w:b/>
          <w:bCs/>
          <w:color w:val="1F3864"/>
          <w:sz w:val="30"/>
          <w:szCs w:val="30"/>
        </w:rPr>
        <w:t xml:space="preserve">10. Source documents</w:t>
      </w:r>
    </w:p>
    <w:p>
      <w:pPr>
        <w:pStyle w:val="ListParagraph"/>
        <w:numPr>
          <w:ilvl w:val="0"/>
          <w:numId w:val="3"/>
        </w:numPr>
        <w:spacing w:after="60"/>
      </w:pPr>
      <w:r>
        <w:rPr>
          <w:rFonts w:ascii="Arial" w:cs="Arial" w:eastAsia="Arial" w:hAnsi="Arial"/>
          <w:sz w:val="20"/>
          <w:szCs w:val="20"/>
        </w:rPr>
        <w:t xml:space="preserve">docs/42-executive-defence/: executive-narrative, problem-to-value-story, ai-decision-defence, lessons-learned, elevator-pitch, next-step-recommendations.</w:t>
      </w:r>
    </w:p>
    <w:p>
      <w:pPr>
        <w:pStyle w:val="ListParagraph"/>
        <w:numPr>
          <w:ilvl w:val="0"/>
          <w:numId w:val="3"/>
        </w:numPr>
        <w:spacing w:after="60"/>
      </w:pPr>
      <w:r>
        <w:rPr>
          <w:rFonts w:ascii="Arial" w:cs="Arial" w:eastAsia="Arial" w:hAnsi="Arial"/>
          <w:sz w:val="20"/>
          <w:szCs w:val="20"/>
        </w:rPr>
        <w:t xml:space="preserve">docs/34-measure-after/after-intervention-kpi-sheet.md; docs/04-baseline-kpis/kpi-dictionary.md.</w:t>
      </w:r>
    </w:p>
    <w:p>
      <w:pPr>
        <w:pStyle w:val="ListParagraph"/>
      </w:pPr>
      <w:r>
        <w:rPr>
          <w:rFonts w:ascii="Arial" w:hAnsi="Arial"/>
          <w:sz w:val="20"/>
        </w:rPr>
        <w:t>Update 26 Oct 2026 (Stage 44, merged as PR #32, main e62c9b4): the hub itself now has an optional, off-by-default advisory document Q&amp;A that can use Azure OpenAI (decision OD-40 in the repo). It is separate from the Command Centre assistant (decision OD-41, which the repo log did not previously hold). It is disabled in the shipped configuration and needs an approval reference to enable. It answers only from hub search results with citations and uses synthetic data only. It was tested only against a local fake Azure server; no real Azure call was made, so it is not proven against a live deployment. The core decision path is still No-AI. Details: docs/44-genai-qa/ in the repo.</w:t>
      </w:r>
    </w:p>
    <w:sectPr>
      <w:footerReference w:type="default" r:id="rId6"/>
      <w:pgSz w:w="11906" w:h="16838" w:orient="portrait"/>
      <w:pgMar w:top="1100" w:right="1000" w:bottom="11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Executive Defence Briefing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2026-10-25T18:28:31.568Z</dcterms:created>
  <dcterms:modified xsi:type="dcterms:W3CDTF">2026-10-25T18:28:31.568Z</dcterms:modified>
</cp:coreProperties>
</file>

<file path=docProps/custom.xml><?xml version="1.0" encoding="utf-8"?>
<Properties xmlns="http://schemas.openxmlformats.org/officeDocument/2006/custom-properties" xmlns:vt="http://schemas.openxmlformats.org/officeDocument/2006/docPropsVTypes"/>
</file>