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X73be9f4476a72f3959a95aaf226fd04a3e020e1"/>
    <w:p>
      <w:pPr>
        <w:pStyle w:val="Heading1"/>
      </w:pPr>
      <w:r>
        <w:t xml:space="preserve">Chapter 14 – Architecture Decision Record (ADR)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What is an ADR?</w:t>
      </w:r>
    </w:p>
    <w:p>
      <w:pPr>
        <w:pStyle w:val="Compact"/>
        <w:numPr>
          <w:ilvl w:val="0"/>
          <w:numId w:val="1001"/>
        </w:numPr>
      </w:pPr>
      <w:r>
        <w:t xml:space="preserve">ADR Principles</w:t>
      </w:r>
    </w:p>
    <w:p>
      <w:pPr>
        <w:pStyle w:val="Compact"/>
        <w:numPr>
          <w:ilvl w:val="0"/>
          <w:numId w:val="1001"/>
        </w:numPr>
      </w:pPr>
      <w:r>
        <w:t xml:space="preserve">When to Create an ADR</w:t>
      </w:r>
    </w:p>
    <w:p>
      <w:pPr>
        <w:pStyle w:val="Compact"/>
        <w:numPr>
          <w:ilvl w:val="0"/>
          <w:numId w:val="1001"/>
        </w:numPr>
      </w:pPr>
      <w:r>
        <w:t xml:space="preserve">ADR Lifecycle</w:t>
      </w:r>
    </w:p>
    <w:p>
      <w:pPr>
        <w:pStyle w:val="Compact"/>
        <w:numPr>
          <w:ilvl w:val="0"/>
          <w:numId w:val="1001"/>
        </w:numPr>
      </w:pPr>
      <w:r>
        <w:t xml:space="preserve">ADR Repository Structure</w:t>
      </w:r>
    </w:p>
    <w:p>
      <w:pPr>
        <w:pStyle w:val="Compact"/>
        <w:numPr>
          <w:ilvl w:val="0"/>
          <w:numId w:val="1001"/>
        </w:numPr>
      </w:pPr>
      <w:r>
        <w:t xml:space="preserve">ADR Numbering</w:t>
      </w:r>
    </w:p>
    <w:p>
      <w:pPr>
        <w:pStyle w:val="Compact"/>
        <w:numPr>
          <w:ilvl w:val="0"/>
          <w:numId w:val="1001"/>
        </w:numPr>
      </w:pPr>
      <w:r>
        <w:t xml:space="preserve">ADR Template</w:t>
      </w:r>
    </w:p>
    <w:p>
      <w:pPr>
        <w:pStyle w:val="Compact"/>
        <w:numPr>
          <w:ilvl w:val="0"/>
          <w:numId w:val="1001"/>
        </w:numPr>
      </w:pPr>
      <w:r>
        <w:t xml:space="preserve">Writing Guidelines</w:t>
      </w:r>
    </w:p>
    <w:p>
      <w:pPr>
        <w:pStyle w:val="Compact"/>
        <w:numPr>
          <w:ilvl w:val="0"/>
          <w:numId w:val="1001"/>
        </w:numPr>
      </w:pPr>
      <w:r>
        <w:t xml:space="preserve">Review &amp; Approval Process</w:t>
      </w:r>
    </w:p>
    <w:p>
      <w:pPr>
        <w:pStyle w:val="Compact"/>
        <w:numPr>
          <w:ilvl w:val="0"/>
          <w:numId w:val="1001"/>
        </w:numPr>
      </w:pPr>
      <w:r>
        <w:t xml:space="preserve">Superseding ADRs</w:t>
      </w:r>
    </w:p>
    <w:p>
      <w:pPr>
        <w:pStyle w:val="Compact"/>
        <w:numPr>
          <w:ilvl w:val="0"/>
          <w:numId w:val="1001"/>
        </w:numPr>
      </w:pPr>
      <w:r>
        <w:t xml:space="preserve">ADR Categories</w:t>
      </w:r>
    </w:p>
    <w:p>
      <w:pPr>
        <w:pStyle w:val="Compact"/>
        <w:numPr>
          <w:ilvl w:val="0"/>
          <w:numId w:val="1001"/>
        </w:numPr>
      </w:pPr>
      <w:r>
        <w:t xml:space="preserve">Sample ADRs</w:t>
      </w:r>
    </w:p>
    <w:p>
      <w:pPr>
        <w:pStyle w:val="Compact"/>
        <w:numPr>
          <w:ilvl w:val="0"/>
          <w:numId w:val="1001"/>
        </w:numPr>
      </w:pPr>
      <w:r>
        <w:t xml:space="preserve">Code Review Checklist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Architecture Decision Records (ADRs) document significant technical decisions made during the evolution of Investment OS.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Preserve architectural knowledge</w:t>
      </w:r>
    </w:p>
    <w:p>
      <w:pPr>
        <w:pStyle w:val="Compact"/>
        <w:numPr>
          <w:ilvl w:val="0"/>
          <w:numId w:val="1002"/>
        </w:numPr>
      </w:pPr>
      <w:r>
        <w:t xml:space="preserve">Record engineering rationale</w:t>
      </w:r>
    </w:p>
    <w:p>
      <w:pPr>
        <w:pStyle w:val="Compact"/>
        <w:numPr>
          <w:ilvl w:val="0"/>
          <w:numId w:val="1002"/>
        </w:numPr>
      </w:pPr>
      <w:r>
        <w:t xml:space="preserve">Improve onboarding</w:t>
      </w:r>
    </w:p>
    <w:p>
      <w:pPr>
        <w:pStyle w:val="Compact"/>
        <w:numPr>
          <w:ilvl w:val="0"/>
          <w:numId w:val="1002"/>
        </w:numPr>
      </w:pPr>
      <w:r>
        <w:t xml:space="preserve">Avoid repeating past discussions</w:t>
      </w:r>
    </w:p>
    <w:p>
      <w:pPr>
        <w:pStyle w:val="Compact"/>
        <w:numPr>
          <w:ilvl w:val="0"/>
          <w:numId w:val="1002"/>
        </w:numPr>
      </w:pPr>
      <w:r>
        <w:t xml:space="preserve">Support governance</w:t>
      </w:r>
    </w:p>
    <w:p>
      <w:pPr>
        <w:pStyle w:val="Compact"/>
        <w:numPr>
          <w:ilvl w:val="0"/>
          <w:numId w:val="1002"/>
        </w:numPr>
      </w:pPr>
      <w:r>
        <w:t xml:space="preserve">Enable long-term maintainability</w:t>
      </w:r>
    </w:p>
    <w:p>
      <w:pPr>
        <w:pStyle w:val="FirstParagraph"/>
      </w:pPr>
      <w:r>
        <w:t xml:space="preserve">Every major architectural decision should be traceable.</w:t>
      </w:r>
    </w:p>
    <w:p>
      <w:r>
        <w:pict>
          <v:rect style="width:0;height:1.5pt" o:hralign="center" o:hrstd="t" o:hr="t"/>
        </w:pict>
      </w:r>
    </w:p>
    <w:bookmarkEnd w:id="23"/>
    <w:bookmarkStart w:id="24" w:name="what-is-an-adr"/>
    <w:p>
      <w:pPr>
        <w:pStyle w:val="Heading1"/>
      </w:pPr>
      <w:r>
        <w:t xml:space="preserve">2. What is an ADR?</w:t>
      </w:r>
    </w:p>
    <w:p>
      <w:pPr>
        <w:pStyle w:val="FirstParagraph"/>
      </w:pPr>
      <w:r>
        <w:t xml:space="preserve">An ADR is a lightweight document that captures:</w:t>
      </w:r>
    </w:p>
    <w:p>
      <w:pPr>
        <w:pStyle w:val="Compact"/>
        <w:numPr>
          <w:ilvl w:val="0"/>
          <w:numId w:val="1003"/>
        </w:numPr>
      </w:pPr>
      <w:r>
        <w:t xml:space="preserve">The problem</w:t>
      </w:r>
    </w:p>
    <w:p>
      <w:pPr>
        <w:pStyle w:val="Compact"/>
        <w:numPr>
          <w:ilvl w:val="0"/>
          <w:numId w:val="1003"/>
        </w:numPr>
      </w:pPr>
      <w:r>
        <w:t xml:space="preserve">The context</w:t>
      </w:r>
    </w:p>
    <w:p>
      <w:pPr>
        <w:pStyle w:val="Compact"/>
        <w:numPr>
          <w:ilvl w:val="0"/>
          <w:numId w:val="1003"/>
        </w:numPr>
      </w:pPr>
      <w:r>
        <w:t xml:space="preserve">The alternatives considered</w:t>
      </w:r>
    </w:p>
    <w:p>
      <w:pPr>
        <w:pStyle w:val="Compact"/>
        <w:numPr>
          <w:ilvl w:val="0"/>
          <w:numId w:val="1003"/>
        </w:numPr>
      </w:pPr>
      <w:r>
        <w:t xml:space="preserve">The chosen solution</w:t>
      </w:r>
    </w:p>
    <w:p>
      <w:pPr>
        <w:pStyle w:val="Compact"/>
        <w:numPr>
          <w:ilvl w:val="0"/>
          <w:numId w:val="1003"/>
        </w:numPr>
      </w:pPr>
      <w:r>
        <w:t xml:space="preserve">The consequences of the decision</w:t>
      </w:r>
    </w:p>
    <w:p>
      <w:pPr>
        <w:pStyle w:val="FirstParagraph"/>
      </w:pPr>
      <w:r>
        <w:t xml:space="preserve">An ADR explains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decision was made, not just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was implemented.</w:t>
      </w:r>
    </w:p>
    <w:p>
      <w:r>
        <w:pict>
          <v:rect style="width:0;height:1.5pt" o:hralign="center" o:hrstd="t" o:hr="t"/>
        </w:pict>
      </w:r>
    </w:p>
    <w:bookmarkEnd w:id="24"/>
    <w:bookmarkStart w:id="25" w:name="adr-principles"/>
    <w:p>
      <w:pPr>
        <w:pStyle w:val="Heading1"/>
      </w:pPr>
      <w:r>
        <w:t xml:space="preserve">3. ADR Principles</w:t>
      </w:r>
    </w:p>
    <w:p>
      <w:pPr>
        <w:pStyle w:val="FirstParagraph"/>
      </w:pPr>
      <w:r>
        <w:t xml:space="preserve">Every ADR should be:</w:t>
      </w:r>
    </w:p>
    <w:p>
      <w:pPr>
        <w:pStyle w:val="Compact"/>
        <w:numPr>
          <w:ilvl w:val="0"/>
          <w:numId w:val="1004"/>
        </w:numPr>
      </w:pPr>
      <w:r>
        <w:t xml:space="preserve">Focused on a single decision</w:t>
      </w:r>
    </w:p>
    <w:p>
      <w:pPr>
        <w:pStyle w:val="Compact"/>
        <w:numPr>
          <w:ilvl w:val="0"/>
          <w:numId w:val="1004"/>
        </w:numPr>
      </w:pPr>
      <w:r>
        <w:t xml:space="preserve">Concise but complete</w:t>
      </w:r>
    </w:p>
    <w:p>
      <w:pPr>
        <w:pStyle w:val="Compact"/>
        <w:numPr>
          <w:ilvl w:val="0"/>
          <w:numId w:val="1004"/>
        </w:numPr>
      </w:pPr>
      <w:r>
        <w:t xml:space="preserve">Written in plain language</w:t>
      </w:r>
    </w:p>
    <w:p>
      <w:pPr>
        <w:pStyle w:val="Compact"/>
        <w:numPr>
          <w:ilvl w:val="0"/>
          <w:numId w:val="1004"/>
        </w:numPr>
      </w:pPr>
      <w:r>
        <w:t xml:space="preserve">Version controlled</w:t>
      </w:r>
    </w:p>
    <w:p>
      <w:pPr>
        <w:pStyle w:val="Compact"/>
        <w:numPr>
          <w:ilvl w:val="0"/>
          <w:numId w:val="1004"/>
        </w:numPr>
      </w:pPr>
      <w:r>
        <w:t xml:space="preserve">Immutable once accepted</w:t>
      </w:r>
    </w:p>
    <w:p>
      <w:pPr>
        <w:pStyle w:val="Compact"/>
        <w:numPr>
          <w:ilvl w:val="0"/>
          <w:numId w:val="1004"/>
        </w:numPr>
      </w:pPr>
      <w:r>
        <w:t xml:space="preserve">Linked to related ADRs where applicable</w:t>
      </w:r>
    </w:p>
    <w:p>
      <w:pPr>
        <w:pStyle w:val="FirstParagraph"/>
      </w:pPr>
      <w:r>
        <w:t xml:space="preserve">Do not edit the historical rationale of an accepted ADR. If the decision changes, create a new ADR that supersedes it.</w:t>
      </w:r>
    </w:p>
    <w:p>
      <w:r>
        <w:pict>
          <v:rect style="width:0;height:1.5pt" o:hralign="center" o:hrstd="t" o:hr="t"/>
        </w:pict>
      </w:r>
    </w:p>
    <w:bookmarkEnd w:id="25"/>
    <w:bookmarkStart w:id="26" w:name="when-to-create-an-adr"/>
    <w:p>
      <w:pPr>
        <w:pStyle w:val="Heading1"/>
      </w:pPr>
      <w:r>
        <w:t xml:space="preserve">4. When to Create an ADR</w:t>
      </w:r>
    </w:p>
    <w:p>
      <w:pPr>
        <w:pStyle w:val="FirstParagraph"/>
      </w:pPr>
      <w:r>
        <w:t xml:space="preserve">Create an ADR when making decisions that are:</w:t>
      </w:r>
    </w:p>
    <w:p>
      <w:pPr>
        <w:pStyle w:val="Compact"/>
        <w:numPr>
          <w:ilvl w:val="0"/>
          <w:numId w:val="1005"/>
        </w:numPr>
      </w:pPr>
      <w:r>
        <w:t xml:space="preserve">Difficult to reverse</w:t>
      </w:r>
    </w:p>
    <w:p>
      <w:pPr>
        <w:pStyle w:val="Compact"/>
        <w:numPr>
          <w:ilvl w:val="0"/>
          <w:numId w:val="1005"/>
        </w:numPr>
      </w:pPr>
      <w:r>
        <w:t xml:space="preserve">Cross-cutting</w:t>
      </w:r>
    </w:p>
    <w:p>
      <w:pPr>
        <w:pStyle w:val="Compact"/>
        <w:numPr>
          <w:ilvl w:val="0"/>
          <w:numId w:val="1005"/>
        </w:numPr>
      </w:pPr>
      <w:r>
        <w:t xml:space="preserve">High-impact</w:t>
      </w:r>
    </w:p>
    <w:p>
      <w:pPr>
        <w:pStyle w:val="Compact"/>
        <w:numPr>
          <w:ilvl w:val="0"/>
          <w:numId w:val="1005"/>
        </w:numPr>
      </w:pPr>
      <w:r>
        <w:t xml:space="preserve">Long-lived</w:t>
      </w:r>
    </w:p>
    <w:p>
      <w:pPr>
        <w:pStyle w:val="Compact"/>
        <w:numPr>
          <w:ilvl w:val="0"/>
          <w:numId w:val="1005"/>
        </w:numPr>
      </w:pPr>
      <w:r>
        <w:t xml:space="preserve">Security-sensitive</w:t>
      </w:r>
    </w:p>
    <w:p>
      <w:pPr>
        <w:pStyle w:val="Compact"/>
        <w:numPr>
          <w:ilvl w:val="0"/>
          <w:numId w:val="1005"/>
        </w:numPr>
      </w:pPr>
      <w:r>
        <w:t xml:space="preserve">Performance-sensitive</w:t>
      </w:r>
    </w:p>
    <w:p>
      <w:pPr>
        <w:pStyle w:val="Compact"/>
        <w:numPr>
          <w:ilvl w:val="0"/>
          <w:numId w:val="1005"/>
        </w:numPr>
      </w:pPr>
      <w:r>
        <w:t xml:space="preserve">AI-related</w:t>
      </w:r>
    </w:p>
    <w:p>
      <w:pPr>
        <w:pStyle w:val="Compact"/>
        <w:numPr>
          <w:ilvl w:val="0"/>
          <w:numId w:val="1005"/>
        </w:numPr>
      </w:pPr>
      <w:r>
        <w:t xml:space="preserve">Infrastructure-related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Selecting FastAPI as the backend framework</w:t>
      </w:r>
    </w:p>
    <w:p>
      <w:pPr>
        <w:pStyle w:val="Compact"/>
        <w:numPr>
          <w:ilvl w:val="0"/>
          <w:numId w:val="1006"/>
        </w:numPr>
      </w:pPr>
      <w:r>
        <w:t xml:space="preserve">Choosing PostgreSQL as the primary database</w:t>
      </w:r>
    </w:p>
    <w:p>
      <w:pPr>
        <w:pStyle w:val="Compact"/>
        <w:numPr>
          <w:ilvl w:val="0"/>
          <w:numId w:val="1006"/>
        </w:numPr>
      </w:pPr>
      <w:r>
        <w:t xml:space="preserve">Adopting Repository Pattern</w:t>
      </w:r>
    </w:p>
    <w:p>
      <w:pPr>
        <w:pStyle w:val="Compact"/>
        <w:numPr>
          <w:ilvl w:val="0"/>
          <w:numId w:val="1006"/>
        </w:numPr>
      </w:pPr>
      <w:r>
        <w:t xml:space="preserve">Introducing an event-driven architecture</w:t>
      </w:r>
    </w:p>
    <w:p>
      <w:pPr>
        <w:pStyle w:val="Compact"/>
        <w:numPr>
          <w:ilvl w:val="0"/>
          <w:numId w:val="1006"/>
        </w:numPr>
      </w:pPr>
      <w:r>
        <w:t xml:space="preserve">Selecting a vector database for Retrieval-Augmented Generation (RAG)</w:t>
      </w:r>
    </w:p>
    <w:p>
      <w:pPr>
        <w:pStyle w:val="Compact"/>
        <w:numPr>
          <w:ilvl w:val="0"/>
          <w:numId w:val="1006"/>
        </w:numPr>
      </w:pPr>
      <w:r>
        <w:t xml:space="preserve">Defining authentication and authorization architecture</w:t>
      </w:r>
    </w:p>
    <w:p>
      <w:pPr>
        <w:pStyle w:val="Compact"/>
        <w:numPr>
          <w:ilvl w:val="0"/>
          <w:numId w:val="1006"/>
        </w:numPr>
      </w:pPr>
      <w:r>
        <w:t xml:space="preserve">Standardizing on UUID primary keys</w:t>
      </w:r>
    </w:p>
    <w:p>
      <w:pPr>
        <w:pStyle w:val="FirstParagraph"/>
      </w:pPr>
      <w:r>
        <w:t xml:space="preserve">Do not create ADRs for routine implementation details.</w:t>
      </w:r>
    </w:p>
    <w:p>
      <w:r>
        <w:pict>
          <v:rect style="width:0;height:1.5pt" o:hralign="center" o:hrstd="t" o:hr="t"/>
        </w:pict>
      </w:r>
    </w:p>
    <w:bookmarkEnd w:id="26"/>
    <w:bookmarkStart w:id="27" w:name="adr-lifecycle"/>
    <w:p>
      <w:pPr>
        <w:pStyle w:val="Heading1"/>
      </w:pPr>
      <w:r>
        <w:t xml:space="preserve">5. ADR Lifecycle</w:t>
      </w:r>
    </w:p>
    <w:p>
      <w:pPr>
        <w:pStyle w:val="FirstParagraph"/>
      </w:pPr>
      <w:r>
        <w:rPr>
          <w:rStyle w:val="VerbatimChar"/>
        </w:rPr>
        <w:t xml:space="preserve">text id="3mz2tp" Proposed     ↓ Technical Review     ↓ Approved     ↓ Implemented     ↓ Superseded (if necessary)     ↓ Archived</w:t>
      </w:r>
    </w:p>
    <w:p>
      <w:pPr>
        <w:pStyle w:val="BodyText"/>
      </w:pPr>
      <w:r>
        <w:t xml:space="preserve">Status values should be visible at the top of every ADR.</w:t>
      </w:r>
    </w:p>
    <w:p>
      <w:r>
        <w:pict>
          <v:rect style="width:0;height:1.5pt" o:hralign="center" o:hrstd="t" o:hr="t"/>
        </w:pict>
      </w:r>
    </w:p>
    <w:bookmarkEnd w:id="27"/>
    <w:bookmarkStart w:id="28" w:name="adr-repository-structure"/>
    <w:p>
      <w:pPr>
        <w:pStyle w:val="Heading1"/>
      </w:pPr>
      <w:r>
        <w:t xml:space="preserve">6. ADR Repository Structure</w:t>
      </w:r>
    </w:p>
    <w:p>
      <w:pPr>
        <w:pStyle w:val="FirstParagraph"/>
      </w:pPr>
      <w:r>
        <w:t xml:space="preserve">Recommended layout:</w:t>
      </w:r>
    </w:p>
    <w:p>
      <w:pPr>
        <w:pStyle w:val="BodyText"/>
      </w:pPr>
      <w:r>
        <w:rPr>
          <w:rStyle w:val="VerbatimChar"/>
        </w:rPr>
        <w:t xml:space="preserve">text id="v7m4cx" docs/ └── adr/     ├── README.md     ├── 0001-use-fastapi.md     ├── 0002-use-postgresql.md     ├── 0003-repository-pattern.md     ├── 0004-use-jwt-authentication.md     ├── 0005-ai-agent-architecture.md     └── templates/         └── adr-template.md</w:t>
      </w:r>
    </w:p>
    <w:p>
      <w:pPr>
        <w:pStyle w:val="BodyText"/>
      </w:pPr>
      <w:r>
        <w:t xml:space="preserve">The repository should include an index linking all ADRs.</w:t>
      </w:r>
    </w:p>
    <w:p>
      <w:r>
        <w:pict>
          <v:rect style="width:0;height:1.5pt" o:hralign="center" o:hrstd="t" o:hr="t"/>
        </w:pict>
      </w:r>
    </w:p>
    <w:bookmarkEnd w:id="28"/>
    <w:bookmarkStart w:id="29" w:name="adr-numbering"/>
    <w:p>
      <w:pPr>
        <w:pStyle w:val="Heading1"/>
      </w:pPr>
      <w:r>
        <w:t xml:space="preserve">7. ADR Numbering</w:t>
      </w:r>
    </w:p>
    <w:p>
      <w:pPr>
        <w:pStyle w:val="FirstParagraph"/>
      </w:pPr>
      <w:r>
        <w:t xml:space="preserve">Assign sequential identifiers.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text id="y1k6pf" ADR-0001 ADR-0002 ADR-0003</w:t>
      </w:r>
    </w:p>
    <w:p>
      <w:pPr>
        <w:pStyle w:val="BodyText"/>
      </w:pPr>
      <w:r>
        <w:t xml:space="preserve">Numbers are never reused, even if an ADR is retired.</w:t>
      </w:r>
    </w:p>
    <w:p>
      <w:pPr>
        <w:pStyle w:val="BodyText"/>
      </w:pPr>
      <w:r>
        <w:t xml:space="preserve">Use descriptive file names alongside the identifier.</w:t>
      </w:r>
    </w:p>
    <w:p>
      <w:r>
        <w:pict>
          <v:rect style="width:0;height:1.5pt" o:hralign="center" o:hrstd="t" o:hr="t"/>
        </w:pict>
      </w:r>
    </w:p>
    <w:bookmarkEnd w:id="29"/>
    <w:bookmarkStart w:id="30" w:name="standard-adr-template"/>
    <w:p>
      <w:pPr>
        <w:pStyle w:val="Heading1"/>
      </w:pPr>
      <w:r>
        <w:t xml:space="preserve">8. Standard ADR Template</w:t>
      </w:r>
    </w:p>
    <w:p>
      <w:pPr>
        <w:pStyle w:val="FirstParagraph"/>
      </w:pPr>
      <w:r>
        <w:t xml:space="preserve">Every ADR should contain the following sections:</w:t>
      </w:r>
    </w:p>
    <w:p>
      <w:pPr>
        <w:pStyle w:val="BodyText"/>
      </w:pPr>
      <w:r>
        <w:t xml:space="preserve">```text id=</w:t>
      </w:r>
      <w:r>
        <w:t xml:space="preserve">“k5l9dw”</w:t>
      </w:r>
      <w:r>
        <w:t xml:space="preserve"> </w:t>
      </w:r>
      <w:r>
        <w:t xml:space="preserve">Title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Authors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Problem Statement</w:t>
      </w:r>
    </w:p>
    <w:p>
      <w:pPr>
        <w:pStyle w:val="BodyText"/>
      </w:pPr>
      <w:r>
        <w:t xml:space="preserve">Decision Drivers</w:t>
      </w:r>
    </w:p>
    <w:p>
      <w:pPr>
        <w:pStyle w:val="BodyText"/>
      </w:pPr>
      <w:r>
        <w:t xml:space="preserve">Options Considered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Rationale</w:t>
      </w:r>
    </w:p>
    <w:p>
      <w:pPr>
        <w:pStyle w:val="BodyText"/>
      </w:pPr>
      <w:r>
        <w:t xml:space="preserve">Consequences</w:t>
      </w:r>
    </w:p>
    <w:p>
      <w:pPr>
        <w:pStyle w:val="BodyText"/>
      </w:pPr>
      <w:r>
        <w:t xml:space="preserve">Risks</w:t>
      </w:r>
    </w:p>
    <w:p>
      <w:pPr>
        <w:pStyle w:val="BodyText"/>
      </w:pPr>
      <w:r>
        <w:t xml:space="preserve">Implementation Notes</w:t>
      </w:r>
    </w:p>
    <w:p>
      <w:pPr>
        <w:pStyle w:val="BodyText"/>
      </w:pPr>
      <w:r>
        <w:t xml:space="preserve">Related ADRs</w:t>
      </w:r>
    </w:p>
    <w:p>
      <w:pPr>
        <w:pStyle w:val="BodyText"/>
      </w:pPr>
      <w:r>
        <w:t xml:space="preserve">References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 consistent template improves readability and discoverability.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Writing Guidelines</w:t>
      </w:r>
      <w:r>
        <w:br/>
      </w:r>
      <w:r>
        <w:br/>
      </w:r>
      <w:r>
        <w:rPr>
          <w:rStyle w:val="VerbatimChar"/>
        </w:rPr>
        <w:t xml:space="preserve">Good ADRs should:</w:t>
      </w:r>
      <w:r>
        <w:br/>
      </w:r>
      <w:r>
        <w:br/>
      </w:r>
      <w:r>
        <w:rPr>
          <w:rStyle w:val="VerbatimChar"/>
        </w:rPr>
        <w:t xml:space="preserve">- Explain the business and technical context</w:t>
      </w:r>
      <w:r>
        <w:br/>
      </w:r>
      <w:r>
        <w:rPr>
          <w:rStyle w:val="VerbatimChar"/>
        </w:rPr>
        <w:t xml:space="preserve">- State assumptions</w:t>
      </w:r>
      <w:r>
        <w:br/>
      </w:r>
      <w:r>
        <w:rPr>
          <w:rStyle w:val="VerbatimChar"/>
        </w:rPr>
        <w:t xml:space="preserve">- Describe constraints</w:t>
      </w:r>
      <w:r>
        <w:br/>
      </w:r>
      <w:r>
        <w:rPr>
          <w:rStyle w:val="VerbatimChar"/>
        </w:rPr>
        <w:t xml:space="preserve">- Compare alternatives objectively</w:t>
      </w:r>
      <w:r>
        <w:br/>
      </w:r>
      <w:r>
        <w:rPr>
          <w:rStyle w:val="VerbatimChar"/>
        </w:rPr>
        <w:t xml:space="preserve">- Justify the selected option</w:t>
      </w:r>
      <w:r>
        <w:br/>
      </w:r>
      <w:r>
        <w:rPr>
          <w:rStyle w:val="VerbatimChar"/>
        </w:rPr>
        <w:t xml:space="preserve">- Identify trade-offs</w:t>
      </w:r>
      <w:r>
        <w:br/>
      </w:r>
      <w:r>
        <w:rPr>
          <w:rStyle w:val="VerbatimChar"/>
        </w:rPr>
        <w:t xml:space="preserve">- Describe expected consequences</w:t>
      </w:r>
      <w:r>
        <w:br/>
      </w:r>
      <w:r>
        <w:br/>
      </w:r>
      <w:r>
        <w:rPr>
          <w:rStyle w:val="VerbatimChar"/>
        </w:rPr>
        <w:t xml:space="preserve">Avoid documenting implementation details that belong in design documents.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Review &amp; Approval Process</w:t>
      </w:r>
      <w:r>
        <w:br/>
      </w:r>
      <w:r>
        <w:br/>
      </w:r>
      <w:r>
        <w:rPr>
          <w:rStyle w:val="VerbatimChar"/>
        </w:rPr>
        <w:t xml:space="preserve">Every ADR should be reviewed by:</w:t>
      </w:r>
      <w:r>
        <w:br/>
      </w:r>
      <w:r>
        <w:br/>
      </w:r>
      <w:r>
        <w:rPr>
          <w:rStyle w:val="VerbatimChar"/>
        </w:rPr>
        <w:t xml:space="preserve">- Technical Lead</w:t>
      </w:r>
      <w:r>
        <w:br/>
      </w:r>
      <w:r>
        <w:rPr>
          <w:rStyle w:val="VerbatimChar"/>
        </w:rPr>
        <w:t xml:space="preserve">- Architecture Owner</w:t>
      </w:r>
      <w:r>
        <w:br/>
      </w:r>
      <w:r>
        <w:rPr>
          <w:rStyle w:val="VerbatimChar"/>
        </w:rPr>
        <w:t xml:space="preserve">- Security Reviewer (if applicable)</w:t>
      </w:r>
      <w:r>
        <w:br/>
      </w:r>
      <w:r>
        <w:rPr>
          <w:rStyle w:val="VerbatimChar"/>
        </w:rPr>
        <w:t xml:space="preserve">- Platform Owner (if applicable)</w:t>
      </w:r>
      <w:r>
        <w:br/>
      </w:r>
      <w:r>
        <w:br/>
      </w:r>
      <w:r>
        <w:rPr>
          <w:rStyle w:val="VerbatimChar"/>
        </w:rPr>
        <w:t xml:space="preserve">Reviewers should evaluate:</w:t>
      </w:r>
      <w:r>
        <w:br/>
      </w:r>
      <w:r>
        <w:br/>
      </w:r>
      <w:r>
        <w:rPr>
          <w:rStyle w:val="VerbatimChar"/>
        </w:rPr>
        <w:t xml:space="preserve">- Problem definition</w:t>
      </w:r>
      <w:r>
        <w:br/>
      </w:r>
      <w:r>
        <w:rPr>
          <w:rStyle w:val="VerbatimChar"/>
        </w:rPr>
        <w:t xml:space="preserve">- Completeness</w:t>
      </w:r>
      <w:r>
        <w:br/>
      </w:r>
      <w:r>
        <w:rPr>
          <w:rStyle w:val="VerbatimChar"/>
        </w:rPr>
        <w:t xml:space="preserve">- Alternatives</w:t>
      </w:r>
      <w:r>
        <w:br/>
      </w:r>
      <w:r>
        <w:rPr>
          <w:rStyle w:val="VerbatimChar"/>
        </w:rPr>
        <w:t xml:space="preserve">- Trade-offs</w:t>
      </w:r>
      <w:r>
        <w:br/>
      </w:r>
      <w:r>
        <w:rPr>
          <w:rStyle w:val="VerbatimChar"/>
        </w:rPr>
        <w:t xml:space="preserve">- Alignment with architecture principles</w:t>
      </w:r>
      <w:r>
        <w:br/>
      </w:r>
      <w:r>
        <w:br/>
      </w:r>
      <w:r>
        <w:rPr>
          <w:rStyle w:val="VerbatimChar"/>
        </w:rPr>
        <w:t xml:space="preserve">Approval indicates agreement with the decision and its rationale.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Superseding ADRs</w:t>
      </w:r>
      <w:r>
        <w:br/>
      </w:r>
      <w:r>
        <w:br/>
      </w:r>
      <w:r>
        <w:rPr>
          <w:rStyle w:val="VerbatimChar"/>
        </w:rPr>
        <w:t xml:space="preserve">Architecture evolves.</w:t>
      </w:r>
      <w:r>
        <w:br/>
      </w:r>
      <w:r>
        <w:br/>
      </w:r>
      <w:r>
        <w:rPr>
          <w:rStyle w:val="VerbatimChar"/>
        </w:rPr>
        <w:t xml:space="preserve">When replacing a previous decision:</w:t>
      </w:r>
      <w:r>
        <w:br/>
      </w:r>
      <w:r>
        <w:br/>
      </w:r>
      <w:r>
        <w:rPr>
          <w:rStyle w:val="VerbatimChar"/>
        </w:rPr>
        <w:t xml:space="preserve">- Create a new ADR.</w:t>
      </w:r>
      <w:r>
        <w:br/>
      </w:r>
      <w:r>
        <w:rPr>
          <w:rStyle w:val="VerbatimChar"/>
        </w:rPr>
        <w:t xml:space="preserve">- Reference the earlier ADR.</w:t>
      </w:r>
      <w:r>
        <w:br/>
      </w:r>
      <w:r>
        <w:rPr>
          <w:rStyle w:val="VerbatimChar"/>
        </w:rPr>
        <w:t xml:space="preserve">- Explain why the original decision is changing.</w:t>
      </w:r>
      <w:r>
        <w:br/>
      </w:r>
      <w:r>
        <w:rPr>
          <w:rStyle w:val="VerbatimChar"/>
        </w:rPr>
        <w:t xml:space="preserve">- Document migration considerations.</w:t>
      </w:r>
      <w:r>
        <w:br/>
      </w:r>
      <w:r>
        <w:br/>
      </w:r>
      <w:r>
        <w:rPr>
          <w:rStyle w:val="VerbatimChar"/>
        </w:rPr>
        <w:t xml:space="preserve">Do not rewrite history.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id="m8r4jh"</w:t>
      </w:r>
      <w:r>
        <w:br/>
      </w:r>
      <w:r>
        <w:rPr>
          <w:rStyle w:val="VerbatimChar"/>
        </w:rPr>
        <w:t xml:space="preserve">ADR-0015</w:t>
      </w:r>
      <w:r>
        <w:br/>
      </w:r>
      <w:r>
        <w:rPr>
          <w:rStyle w:val="VerbatimChar"/>
        </w:rPr>
        <w:t xml:space="preserve">Supersedes ADR-0008</w:t>
      </w:r>
    </w:p>
    <w:p>
      <w:r>
        <w:pict>
          <v:rect style="width:0;height:1.5pt" o:hralign="center" o:hrstd="t" o:hr="t"/>
        </w:pict>
      </w:r>
    </w:p>
    <w:bookmarkEnd w:id="30"/>
    <w:bookmarkStart w:id="38" w:name="adr-categories"/>
    <w:p>
      <w:pPr>
        <w:pStyle w:val="Heading1"/>
      </w:pPr>
      <w:r>
        <w:t xml:space="preserve">12. ADR Categories</w:t>
      </w:r>
    </w:p>
    <w:p>
      <w:pPr>
        <w:pStyle w:val="FirstParagraph"/>
      </w:pPr>
      <w:r>
        <w:t xml:space="preserve">Suggested categories:</w:t>
      </w:r>
    </w:p>
    <w:bookmarkStart w:id="31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07"/>
        </w:numPr>
      </w:pPr>
      <w:r>
        <w:t xml:space="preserve">Service boundaries</w:t>
      </w:r>
    </w:p>
    <w:p>
      <w:pPr>
        <w:pStyle w:val="Compact"/>
        <w:numPr>
          <w:ilvl w:val="0"/>
          <w:numId w:val="1007"/>
        </w:numPr>
      </w:pPr>
      <w:r>
        <w:t xml:space="preserve">Layering</w:t>
      </w:r>
    </w:p>
    <w:p>
      <w:pPr>
        <w:pStyle w:val="Compact"/>
        <w:numPr>
          <w:ilvl w:val="0"/>
          <w:numId w:val="1007"/>
        </w:numPr>
      </w:pPr>
      <w:r>
        <w:t xml:space="preserve">Module organization</w:t>
      </w:r>
    </w:p>
    <w:bookmarkEnd w:id="31"/>
    <w:bookmarkStart w:id="3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8"/>
        </w:numPr>
      </w:pPr>
      <w:r>
        <w:t xml:space="preserve">Database technology</w:t>
      </w:r>
    </w:p>
    <w:p>
      <w:pPr>
        <w:pStyle w:val="Compact"/>
        <w:numPr>
          <w:ilvl w:val="0"/>
          <w:numId w:val="1008"/>
        </w:numPr>
      </w:pPr>
      <w:r>
        <w:t xml:space="preserve">Schema strategy</w:t>
      </w:r>
    </w:p>
    <w:p>
      <w:pPr>
        <w:pStyle w:val="Compact"/>
        <w:numPr>
          <w:ilvl w:val="0"/>
          <w:numId w:val="1008"/>
        </w:numPr>
      </w:pPr>
      <w:r>
        <w:t xml:space="preserve">Multi-tenancy</w:t>
      </w:r>
    </w:p>
    <w:bookmarkEnd w:id="32"/>
    <w:bookmarkStart w:id="33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09"/>
        </w:numPr>
      </w:pPr>
      <w:r>
        <w:t xml:space="preserve">Versioning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Error handling</w:t>
      </w:r>
    </w:p>
    <w:bookmarkEnd w:id="33"/>
    <w:bookmarkStart w:id="34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10"/>
        </w:numPr>
      </w:pPr>
      <w:r>
        <w:t xml:space="preserve">Model selection</w:t>
      </w:r>
    </w:p>
    <w:p>
      <w:pPr>
        <w:pStyle w:val="Compact"/>
        <w:numPr>
          <w:ilvl w:val="0"/>
          <w:numId w:val="1010"/>
        </w:numPr>
      </w:pPr>
      <w:r>
        <w:t xml:space="preserve">Prompt strategy</w:t>
      </w:r>
    </w:p>
    <w:p>
      <w:pPr>
        <w:pStyle w:val="Compact"/>
        <w:numPr>
          <w:ilvl w:val="0"/>
          <w:numId w:val="1010"/>
        </w:numPr>
      </w:pPr>
      <w:r>
        <w:t xml:space="preserve">Agent orchestration</w:t>
      </w:r>
    </w:p>
    <w:p>
      <w:pPr>
        <w:pStyle w:val="Compact"/>
        <w:numPr>
          <w:ilvl w:val="0"/>
          <w:numId w:val="1010"/>
        </w:numPr>
      </w:pPr>
      <w:r>
        <w:t xml:space="preserve">RAG architecture</w:t>
      </w:r>
    </w:p>
    <w:bookmarkEnd w:id="34"/>
    <w:bookmarkStart w:id="35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11"/>
        </w:numPr>
      </w:pPr>
      <w:r>
        <w:t xml:space="preserve">Container platform</w:t>
      </w:r>
    </w:p>
    <w:p>
      <w:pPr>
        <w:pStyle w:val="Compact"/>
        <w:numPr>
          <w:ilvl w:val="0"/>
          <w:numId w:val="1011"/>
        </w:numPr>
      </w:pPr>
      <w:r>
        <w:t xml:space="preserve">Orchestration</w:t>
      </w:r>
    </w:p>
    <w:p>
      <w:pPr>
        <w:pStyle w:val="Compact"/>
        <w:numPr>
          <w:ilvl w:val="0"/>
          <w:numId w:val="1011"/>
        </w:numPr>
      </w:pPr>
      <w:r>
        <w:t xml:space="preserve">Networking</w:t>
      </w:r>
    </w:p>
    <w:bookmarkEnd w:id="35"/>
    <w:bookmarkStart w:id="3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t xml:space="preserve">Identity management</w:t>
      </w:r>
    </w:p>
    <w:p>
      <w:pPr>
        <w:pStyle w:val="Compact"/>
        <w:numPr>
          <w:ilvl w:val="0"/>
          <w:numId w:val="1012"/>
        </w:numPr>
      </w:pPr>
      <w:r>
        <w:t xml:space="preserve">Encryption</w:t>
      </w:r>
    </w:p>
    <w:p>
      <w:pPr>
        <w:pStyle w:val="Compact"/>
        <w:numPr>
          <w:ilvl w:val="0"/>
          <w:numId w:val="1012"/>
        </w:numPr>
      </w:pPr>
      <w:r>
        <w:t xml:space="preserve">Secrets management</w:t>
      </w:r>
    </w:p>
    <w:bookmarkEnd w:id="36"/>
    <w:bookmarkStart w:id="37" w:name="operations"/>
    <w:p>
      <w:pPr>
        <w:pStyle w:val="Heading3"/>
      </w:pPr>
      <w:r>
        <w:t xml:space="preserve">Operations</w:t>
      </w:r>
    </w:p>
    <w:p>
      <w:pPr>
        <w:pStyle w:val="Compact"/>
        <w:numPr>
          <w:ilvl w:val="0"/>
          <w:numId w:val="1013"/>
        </w:numPr>
      </w:pPr>
      <w:r>
        <w:t xml:space="preserve">Monitoring</w:t>
      </w:r>
    </w:p>
    <w:p>
      <w:pPr>
        <w:pStyle w:val="Compact"/>
        <w:numPr>
          <w:ilvl w:val="0"/>
          <w:numId w:val="1013"/>
        </w:numPr>
      </w:pPr>
      <w:r>
        <w:t xml:space="preserve">Logging</w:t>
      </w:r>
    </w:p>
    <w:p>
      <w:pPr>
        <w:pStyle w:val="Compact"/>
        <w:numPr>
          <w:ilvl w:val="0"/>
          <w:numId w:val="1013"/>
        </w:numPr>
      </w:pPr>
      <w:r>
        <w:t xml:space="preserve">Incident response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ample-adrs"/>
    <w:p>
      <w:pPr>
        <w:pStyle w:val="Heading1"/>
      </w:pPr>
      <w:r>
        <w:t xml:space="preserve">13. Sample ADRs</w:t>
      </w:r>
    </w:p>
    <w:p>
      <w:pPr>
        <w:pStyle w:val="FirstParagraph"/>
      </w:pPr>
      <w:r>
        <w:t xml:space="preserve">Representative ADRs for Investment 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ADR-0001</w:t>
            </w:r>
          </w:p>
        </w:tc>
        <w:tc>
          <w:tcPr/>
          <w:p>
            <w:pPr>
              <w:pStyle w:val="Compact"/>
            </w:pPr>
            <w:r>
              <w:t xml:space="preserve">Adopt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ADR-0002</w:t>
            </w:r>
          </w:p>
        </w:tc>
        <w:tc>
          <w:tcPr/>
          <w:p>
            <w:pPr>
              <w:pStyle w:val="Compact"/>
            </w:pPr>
            <w:r>
              <w:t xml:space="preserve">Use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ADR-0003</w:t>
            </w:r>
          </w:p>
        </w:tc>
        <w:tc>
          <w:tcPr/>
          <w:p>
            <w:pPr>
              <w:pStyle w:val="Compact"/>
            </w:pPr>
            <w:r>
              <w:t xml:space="preserve">Repository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ADR-0004</w:t>
            </w:r>
          </w:p>
        </w:tc>
        <w:tc>
          <w:tcPr/>
          <w:p>
            <w:pPr>
              <w:pStyle w:val="Compact"/>
            </w:pPr>
            <w:r>
              <w:t xml:space="preserve">SQLAlchemy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ADR-0005</w:t>
            </w:r>
          </w:p>
        </w:tc>
        <w:tc>
          <w:tcPr/>
          <w:p>
            <w:pPr>
              <w:pStyle w:val="Compact"/>
            </w:pPr>
            <w:r>
              <w:t xml:space="preserve">Alembic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ADR-0006</w:t>
            </w:r>
          </w:p>
        </w:tc>
        <w:tc>
          <w:tcPr/>
          <w:p>
            <w:pPr>
              <w:pStyle w:val="Compact"/>
            </w:pPr>
            <w:r>
              <w:t xml:space="preserve">Docker Development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ADR-0007</w:t>
            </w:r>
          </w:p>
        </w:tc>
        <w:tc>
          <w:tcPr/>
          <w:p>
            <w:pPr>
              <w:pStyle w:val="Compact"/>
            </w:pPr>
            <w:r>
              <w:t xml:space="preserve">JWT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ADR-0008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ADR-0009</w:t>
            </w:r>
          </w:p>
        </w:tc>
        <w:tc>
          <w:tcPr/>
          <w:p>
            <w:pPr>
              <w:pStyle w:val="Compact"/>
            </w:pPr>
            <w:r>
              <w:t xml:space="preserve">Structured JSON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ADR-0010</w:t>
            </w:r>
          </w:p>
        </w:tc>
        <w:tc>
          <w:tcPr/>
          <w:p>
            <w:pPr>
              <w:pStyle w:val="Compact"/>
            </w:pPr>
            <w:r>
              <w:t xml:space="preserve">OpenTelemetry for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ADR-0011</w:t>
            </w:r>
          </w:p>
        </w:tc>
        <w:tc>
          <w:tcPr/>
          <w:p>
            <w:pPr>
              <w:pStyle w:val="Compact"/>
            </w:pPr>
            <w:r>
              <w:t xml:space="preserve">AI Multi-Agent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ADR-0012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ADR-0013</w:t>
            </w:r>
          </w:p>
        </w:tc>
        <w:tc>
          <w:tcPr/>
          <w:p>
            <w:pPr>
              <w:pStyle w:val="Compact"/>
            </w:pPr>
            <w:r>
              <w:t xml:space="preserve">Knowledge Graph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ADR-0014</w:t>
            </w:r>
          </w:p>
        </w:tc>
        <w:tc>
          <w:tcPr/>
          <w:p>
            <w:pPr>
              <w:pStyle w:val="Compact"/>
            </w:pPr>
            <w:r>
              <w:t xml:space="preserve">Prompt Version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ADR-0015</w:t>
            </w:r>
          </w:p>
        </w:tc>
        <w:tc>
          <w:tcPr/>
          <w:p>
            <w:pPr>
              <w:pStyle w:val="Compact"/>
            </w:pPr>
            <w:r>
              <w:t xml:space="preserve">CI/CD with GitHub Actions</w:t>
            </w:r>
          </w:p>
        </w:tc>
      </w:tr>
    </w:tbl>
    <w:p>
      <w:pPr>
        <w:pStyle w:val="BodyText"/>
      </w:pPr>
      <w:r>
        <w:t xml:space="preserve">Each ADR should link to related documentation where appropriate.</w:t>
      </w:r>
    </w:p>
    <w:p>
      <w:r>
        <w:pict>
          <v:rect style="width:0;height:1.5pt" o:hralign="center" o:hrstd="t" o:hr="t"/>
        </w:pict>
      </w:r>
    </w:p>
    <w:bookmarkEnd w:id="39"/>
    <w:bookmarkStart w:id="40" w:name="code-review-checklist"/>
    <w:p>
      <w:pPr>
        <w:pStyle w:val="Heading1"/>
      </w:pPr>
      <w:r>
        <w:t xml:space="preserve">14. Code Review Checklist</w:t>
      </w:r>
    </w:p>
    <w:p>
      <w:pPr>
        <w:pStyle w:val="FirstParagraph"/>
      </w:pPr>
      <w:r>
        <w:t xml:space="preserve">When reviewing an architectural change, verify:</w:t>
      </w:r>
    </w:p>
    <w:p>
      <w:pPr>
        <w:pStyle w:val="Compact"/>
        <w:numPr>
          <w:ilvl w:val="0"/>
          <w:numId w:val="1014"/>
        </w:numPr>
      </w:pPr>
      <w:r>
        <w:t xml:space="preserve">A new ADR exists if required.</w:t>
      </w:r>
    </w:p>
    <w:p>
      <w:pPr>
        <w:pStyle w:val="Compact"/>
        <w:numPr>
          <w:ilvl w:val="0"/>
          <w:numId w:val="1014"/>
        </w:numPr>
      </w:pPr>
      <w:r>
        <w:t xml:space="preserve">The problem statement is clear.</w:t>
      </w:r>
    </w:p>
    <w:p>
      <w:pPr>
        <w:pStyle w:val="Compact"/>
        <w:numPr>
          <w:ilvl w:val="0"/>
          <w:numId w:val="1014"/>
        </w:numPr>
      </w:pPr>
      <w:r>
        <w:t xml:space="preserve">Alternatives are documented.</w:t>
      </w:r>
    </w:p>
    <w:p>
      <w:pPr>
        <w:pStyle w:val="Compact"/>
        <w:numPr>
          <w:ilvl w:val="0"/>
          <w:numId w:val="1014"/>
        </w:numPr>
      </w:pPr>
      <w:r>
        <w:t xml:space="preserve">Trade-offs are explained.</w:t>
      </w:r>
    </w:p>
    <w:p>
      <w:pPr>
        <w:pStyle w:val="Compact"/>
        <w:numPr>
          <w:ilvl w:val="0"/>
          <w:numId w:val="1014"/>
        </w:numPr>
      </w:pPr>
      <w:r>
        <w:t xml:space="preserve">Security implications are considered.</w:t>
      </w:r>
    </w:p>
    <w:p>
      <w:pPr>
        <w:pStyle w:val="Compact"/>
        <w:numPr>
          <w:ilvl w:val="0"/>
          <w:numId w:val="1014"/>
        </w:numPr>
      </w:pPr>
      <w:r>
        <w:t xml:space="preserve">Performance implications are evaluated.</w:t>
      </w:r>
    </w:p>
    <w:p>
      <w:pPr>
        <w:pStyle w:val="Compact"/>
        <w:numPr>
          <w:ilvl w:val="0"/>
          <w:numId w:val="1014"/>
        </w:numPr>
      </w:pPr>
      <w:r>
        <w:t xml:space="preserve">Operational impact is identified.</w:t>
      </w:r>
    </w:p>
    <w:p>
      <w:pPr>
        <w:pStyle w:val="Compact"/>
        <w:numPr>
          <w:ilvl w:val="0"/>
          <w:numId w:val="1014"/>
        </w:numPr>
      </w:pPr>
      <w:r>
        <w:t xml:space="preserve">Documentation links are updated.</w:t>
      </w:r>
    </w:p>
    <w:p>
      <w:pPr>
        <w:pStyle w:val="FirstParagraph"/>
      </w:pPr>
      <w:r>
        <w:t xml:space="preserve">Architectural changes should not be merged without the required ADR.</w:t>
      </w:r>
    </w:p>
    <w:p>
      <w:r>
        <w:pict>
          <v:rect style="width:0;height:1.5pt" o:hralign="center" o:hrstd="t" o:hr="t"/>
        </w:pict>
      </w:r>
    </w:p>
    <w:bookmarkEnd w:id="40"/>
    <w:bookmarkStart w:id="41" w:name="common-anti-patterns"/>
    <w:p>
      <w:pPr>
        <w:pStyle w:val="Heading1"/>
      </w:pPr>
      <w:r>
        <w:t xml:space="preserve">15.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5"/>
        </w:numPr>
      </w:pPr>
      <w:r>
        <w:t xml:space="preserve">Writing ADRs after implementation without capturing the original rationale</w:t>
      </w:r>
    </w:p>
    <w:p>
      <w:pPr>
        <w:pStyle w:val="Compact"/>
        <w:numPr>
          <w:ilvl w:val="0"/>
          <w:numId w:val="1015"/>
        </w:numPr>
      </w:pPr>
      <w:r>
        <w:t xml:space="preserve">Combining multiple unrelated decisions into one ADR</w:t>
      </w:r>
    </w:p>
    <w:p>
      <w:pPr>
        <w:pStyle w:val="Compact"/>
        <w:numPr>
          <w:ilvl w:val="0"/>
          <w:numId w:val="1015"/>
        </w:numPr>
      </w:pPr>
      <w:r>
        <w:t xml:space="preserve">Omitting alternatives</w:t>
      </w:r>
    </w:p>
    <w:p>
      <w:pPr>
        <w:pStyle w:val="Compact"/>
        <w:numPr>
          <w:ilvl w:val="0"/>
          <w:numId w:val="1015"/>
        </w:numPr>
      </w:pPr>
      <w:r>
        <w:t xml:space="preserve">Stating conclusions without explaining why</w:t>
      </w:r>
    </w:p>
    <w:p>
      <w:pPr>
        <w:pStyle w:val="Compact"/>
        <w:numPr>
          <w:ilvl w:val="0"/>
          <w:numId w:val="1015"/>
        </w:numPr>
      </w:pPr>
      <w:r>
        <w:t xml:space="preserve">Editing historical ADRs instead of superseding them</w:t>
      </w:r>
    </w:p>
    <w:p>
      <w:pPr>
        <w:pStyle w:val="Compact"/>
        <w:numPr>
          <w:ilvl w:val="0"/>
          <w:numId w:val="1015"/>
        </w:numPr>
      </w:pPr>
      <w:r>
        <w:t xml:space="preserve">Creating ADRs for trivial implementation choices</w:t>
      </w:r>
    </w:p>
    <w:p>
      <w:pPr>
        <w:pStyle w:val="Compact"/>
        <w:numPr>
          <w:ilvl w:val="0"/>
          <w:numId w:val="1015"/>
        </w:numPr>
      </w:pPr>
      <w:r>
        <w:t xml:space="preserve">Leaving ADRs in</w:t>
      </w:r>
      <w:r>
        <w:t xml:space="preserve"> </w:t>
      </w:r>
      <w:r>
        <w:t xml:space="preserve">“Draft”</w:t>
      </w:r>
      <w:r>
        <w:t xml:space="preserve"> </w:t>
      </w:r>
      <w:r>
        <w:t xml:space="preserve">indefinitely</w:t>
      </w:r>
    </w:p>
    <w:p>
      <w:pPr>
        <w:pStyle w:val="Compact"/>
        <w:numPr>
          <w:ilvl w:val="0"/>
          <w:numId w:val="1015"/>
        </w:numPr>
      </w:pPr>
      <w:r>
        <w:t xml:space="preserve">Failing to link related ADRs</w:t>
      </w:r>
    </w:p>
    <w:p>
      <w:r>
        <w:pict>
          <v:rect style="width:0;height:1.5pt" o:hralign="center" o:hrstd="t" o:hr="t"/>
        </w:pict>
      </w:r>
    </w:p>
    <w:bookmarkEnd w:id="41"/>
    <w:bookmarkStart w:id="42" w:name="definition-of-done"/>
    <w:p>
      <w:pPr>
        <w:pStyle w:val="Heading1"/>
      </w:pPr>
      <w:r>
        <w:t xml:space="preserve">16. Definition of Done</w:t>
      </w:r>
    </w:p>
    <w:p>
      <w:pPr>
        <w:pStyle w:val="FirstParagraph"/>
      </w:pPr>
      <w:r>
        <w:t xml:space="preserve">An ADR is complete when:</w:t>
      </w:r>
    </w:p>
    <w:p>
      <w:pPr>
        <w:pStyle w:val="Compact"/>
        <w:numPr>
          <w:ilvl w:val="0"/>
          <w:numId w:val="1016"/>
        </w:numPr>
      </w:pPr>
      <w:r>
        <w:t xml:space="preserve">The problem is clearly defined.</w:t>
      </w:r>
    </w:p>
    <w:p>
      <w:pPr>
        <w:pStyle w:val="Compact"/>
        <w:numPr>
          <w:ilvl w:val="0"/>
          <w:numId w:val="1016"/>
        </w:numPr>
      </w:pPr>
      <w:r>
        <w:t xml:space="preserve">Context is documented.</w:t>
      </w:r>
    </w:p>
    <w:p>
      <w:pPr>
        <w:pStyle w:val="Compact"/>
        <w:numPr>
          <w:ilvl w:val="0"/>
          <w:numId w:val="1016"/>
        </w:numPr>
      </w:pPr>
      <w:r>
        <w:t xml:space="preserve">Alternatives are evaluated.</w:t>
      </w:r>
    </w:p>
    <w:p>
      <w:pPr>
        <w:pStyle w:val="Compact"/>
        <w:numPr>
          <w:ilvl w:val="0"/>
          <w:numId w:val="1016"/>
        </w:numPr>
      </w:pPr>
      <w:r>
        <w:t xml:space="preserve">Decision and rationale are recorded.</w:t>
      </w:r>
    </w:p>
    <w:p>
      <w:pPr>
        <w:pStyle w:val="Compact"/>
        <w:numPr>
          <w:ilvl w:val="0"/>
          <w:numId w:val="1016"/>
        </w:numPr>
      </w:pPr>
      <w:r>
        <w:t xml:space="preserve">Trade-offs are explained.</w:t>
      </w:r>
    </w:p>
    <w:p>
      <w:pPr>
        <w:pStyle w:val="Compact"/>
        <w:numPr>
          <w:ilvl w:val="0"/>
          <w:numId w:val="1016"/>
        </w:numPr>
      </w:pPr>
      <w:r>
        <w:t xml:space="preserve">Review is complete.</w:t>
      </w:r>
    </w:p>
    <w:p>
      <w:pPr>
        <w:pStyle w:val="Compact"/>
        <w:numPr>
          <w:ilvl w:val="0"/>
          <w:numId w:val="1016"/>
        </w:numPr>
      </w:pPr>
      <w:r>
        <w:t xml:space="preserve">Status is updated.</w:t>
      </w:r>
    </w:p>
    <w:p>
      <w:pPr>
        <w:pStyle w:val="Compact"/>
        <w:numPr>
          <w:ilvl w:val="0"/>
          <w:numId w:val="1016"/>
        </w:numPr>
      </w:pPr>
      <w:r>
        <w:t xml:space="preserve">Related documentation is linked.</w:t>
      </w:r>
    </w:p>
    <w:p>
      <w:pPr>
        <w:pStyle w:val="Compact"/>
        <w:numPr>
          <w:ilvl w:val="0"/>
          <w:numId w:val="1016"/>
        </w:numPr>
      </w:pPr>
      <w:r>
        <w:t xml:space="preserve">The ADR is committed to version control.</w:t>
      </w:r>
    </w:p>
    <w:p>
      <w:r>
        <w:pict>
          <v:rect style="width:0;height:1.5pt" o:hralign="center" o:hrstd="t" o:hr="t"/>
        </w:pict>
      </w:r>
    </w:p>
    <w:bookmarkEnd w:id="42"/>
    <w:bookmarkStart w:id="50" w:name="example-adr-abbreviated"/>
    <w:p>
      <w:pPr>
        <w:pStyle w:val="Heading1"/>
      </w:pPr>
      <w:r>
        <w:t xml:space="preserve">Example ADR (Abbreviated)</w:t>
      </w:r>
    </w:p>
    <w:bookmarkStart w:id="49" w:name="adr-0002-use-postgresql"/>
    <w:p>
      <w:pPr>
        <w:pStyle w:val="Heading2"/>
      </w:pPr>
      <w:r>
        <w:t xml:space="preserve">ADR-0002 – Use PostgreSQL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bookmarkStart w:id="43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Investment OS requires a transactional relational database for financial records, startup information, user management, and AI metadata.</w:t>
      </w:r>
    </w:p>
    <w:bookmarkEnd w:id="43"/>
    <w:bookmarkStart w:id="44" w:name="decision-drivers"/>
    <w:p>
      <w:pPr>
        <w:pStyle w:val="Heading3"/>
      </w:pPr>
      <w:r>
        <w:t xml:space="preserve">Decision Drivers</w:t>
      </w:r>
    </w:p>
    <w:p>
      <w:pPr>
        <w:pStyle w:val="Compact"/>
        <w:numPr>
          <w:ilvl w:val="0"/>
          <w:numId w:val="1017"/>
        </w:numPr>
      </w:pPr>
      <w:r>
        <w:t xml:space="preserve">ACID compliance</w:t>
      </w:r>
    </w:p>
    <w:p>
      <w:pPr>
        <w:pStyle w:val="Compact"/>
        <w:numPr>
          <w:ilvl w:val="0"/>
          <w:numId w:val="1017"/>
        </w:numPr>
      </w:pPr>
      <w:r>
        <w:t xml:space="preserve">Strong SQL support</w:t>
      </w:r>
    </w:p>
    <w:p>
      <w:pPr>
        <w:pStyle w:val="Compact"/>
        <w:numPr>
          <w:ilvl w:val="0"/>
          <w:numId w:val="1017"/>
        </w:numPr>
      </w:pPr>
      <w:r>
        <w:t xml:space="preserve">JSON capabilities</w:t>
      </w:r>
    </w:p>
    <w:p>
      <w:pPr>
        <w:pStyle w:val="Compact"/>
        <w:numPr>
          <w:ilvl w:val="0"/>
          <w:numId w:val="1017"/>
        </w:numPr>
      </w:pPr>
      <w:r>
        <w:t xml:space="preserve">Mature ecosystem</w:t>
      </w:r>
    </w:p>
    <w:p>
      <w:pPr>
        <w:pStyle w:val="Compact"/>
        <w:numPr>
          <w:ilvl w:val="0"/>
          <w:numId w:val="1017"/>
        </w:numPr>
      </w:pPr>
      <w:r>
        <w:t xml:space="preserve">Scalability</w:t>
      </w:r>
    </w:p>
    <w:p>
      <w:pPr>
        <w:pStyle w:val="Compact"/>
        <w:numPr>
          <w:ilvl w:val="0"/>
          <w:numId w:val="1017"/>
        </w:numPr>
      </w:pPr>
      <w:r>
        <w:t xml:space="preserve">Open-source licensing</w:t>
      </w:r>
    </w:p>
    <w:bookmarkEnd w:id="44"/>
    <w:bookmarkStart w:id="45" w:name="options-considered"/>
    <w:p>
      <w:pPr>
        <w:pStyle w:val="Heading3"/>
      </w:pPr>
      <w:r>
        <w:t xml:space="preserve">Options Considered</w:t>
      </w:r>
    </w:p>
    <w:p>
      <w:pPr>
        <w:pStyle w:val="Compact"/>
        <w:numPr>
          <w:ilvl w:val="0"/>
          <w:numId w:val="1018"/>
        </w:numPr>
      </w:pPr>
      <w:r>
        <w:t xml:space="preserve">PostgreSQL</w:t>
      </w:r>
    </w:p>
    <w:p>
      <w:pPr>
        <w:pStyle w:val="Compact"/>
        <w:numPr>
          <w:ilvl w:val="0"/>
          <w:numId w:val="1018"/>
        </w:numPr>
      </w:pPr>
      <w:r>
        <w:t xml:space="preserve">MySQL</w:t>
      </w:r>
    </w:p>
    <w:p>
      <w:pPr>
        <w:pStyle w:val="Compact"/>
        <w:numPr>
          <w:ilvl w:val="0"/>
          <w:numId w:val="1018"/>
        </w:numPr>
      </w:pPr>
      <w:r>
        <w:t xml:space="preserve">MariaDB</w:t>
      </w:r>
    </w:p>
    <w:p>
      <w:pPr>
        <w:pStyle w:val="Compact"/>
        <w:numPr>
          <w:ilvl w:val="0"/>
          <w:numId w:val="1018"/>
        </w:numPr>
      </w:pPr>
      <w:r>
        <w:t xml:space="preserve">Microsoft SQL Server</w:t>
      </w:r>
    </w:p>
    <w:bookmarkEnd w:id="45"/>
    <w:bookmarkStart w:id="46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 PostgreSQL as the primary operational database.</w:t>
      </w:r>
    </w:p>
    <w:bookmarkEnd w:id="46"/>
    <w:bookmarkStart w:id="47" w:name="rationale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PostgreSQL provides mature transactional guarantees, rich indexing options, JSONB support, and a broad ecosystem that aligns with the platform’s current and anticipated requirements.</w:t>
      </w:r>
    </w:p>
    <w:bookmarkEnd w:id="47"/>
    <w:bookmarkStart w:id="48" w:name="consequences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/>
          <w:bCs/>
        </w:rPr>
        <w:t xml:space="preserve">Positive</w:t>
      </w:r>
    </w:p>
    <w:p>
      <w:pPr>
        <w:pStyle w:val="Compact"/>
        <w:numPr>
          <w:ilvl w:val="0"/>
          <w:numId w:val="1019"/>
        </w:numPr>
      </w:pPr>
      <w:r>
        <w:t xml:space="preserve">Strong consistency</w:t>
      </w:r>
    </w:p>
    <w:p>
      <w:pPr>
        <w:pStyle w:val="Compact"/>
        <w:numPr>
          <w:ilvl w:val="0"/>
          <w:numId w:val="1019"/>
        </w:numPr>
      </w:pPr>
      <w:r>
        <w:t xml:space="preserve">Flexible relational and JSON data handling</w:t>
      </w:r>
    </w:p>
    <w:p>
      <w:pPr>
        <w:pStyle w:val="Compact"/>
        <w:numPr>
          <w:ilvl w:val="0"/>
          <w:numId w:val="1019"/>
        </w:numPr>
      </w:pPr>
      <w:r>
        <w:t xml:space="preserve">Extensive tooling</w:t>
      </w:r>
    </w:p>
    <w:p>
      <w:pPr>
        <w:pStyle w:val="FirstParagraph"/>
      </w:pPr>
      <w:r>
        <w:rPr>
          <w:b/>
          <w:bCs/>
        </w:rPr>
        <w:t xml:space="preserve">Negative</w:t>
      </w:r>
    </w:p>
    <w:p>
      <w:pPr>
        <w:pStyle w:val="Compact"/>
        <w:numPr>
          <w:ilvl w:val="0"/>
          <w:numId w:val="1020"/>
        </w:numPr>
      </w:pPr>
      <w:r>
        <w:t xml:space="preserve">Team members may require PostgreSQL-specific operational knowledge.</w:t>
      </w:r>
    </w:p>
    <w:p>
      <w:pPr>
        <w:pStyle w:val="Compact"/>
        <w:numPr>
          <w:ilvl w:val="0"/>
          <w:numId w:val="1020"/>
        </w:numPr>
      </w:pPr>
      <w:r>
        <w:t xml:space="preserve">Some advanced features can increase administrative complexity.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recommended-adr-index"/>
    <w:p>
      <w:pPr>
        <w:pStyle w:val="Heading1"/>
      </w:pPr>
      <w:r>
        <w:t xml:space="preserve">Recommended ADR Index</w:t>
      </w:r>
    </w:p>
    <w:p>
      <w:pPr>
        <w:pStyle w:val="FirstParagraph"/>
      </w:pPr>
      <w:r>
        <w:rPr>
          <w:rStyle w:val="VerbatimChar"/>
        </w:rPr>
        <w:t xml:space="preserve">text id="f6d2rx" ADR-0001  FastAPI Framework ADR-0002  PostgreSQL Database ADR-0003  Repository Pattern ADR-0004  SQLAlchemy ORM ADR-0005  Alembic Migrations ADR-0006  Docker Development ADR-0007  JWT Authentication ADR-0008  RBAC Authorization ADR-0009  Structured Logging ADR-0010  OpenTelemetry ADR-0011  AI Multi-Agent Architecture ADR-0012  RAG Architecture ADR-0013  Knowledge Graph ADR-0014  Prompt Registry ADR-0015  GitHub Actions CI/CD</w:t>
      </w:r>
    </w:p>
    <w:p>
      <w:r>
        <w:pict>
          <v:rect style="width:0;height:1.5pt" o:hralign="center" o:hrstd="t" o:hr="t"/>
        </w:pict>
      </w:r>
    </w:p>
    <w:bookmarkEnd w:id="51"/>
    <w:bookmarkStart w:id="5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Architecture Decision Records preserve the reasoning behind major technical choices.</w:t>
      </w:r>
    </w:p>
    <w:p>
      <w:pPr>
        <w:pStyle w:val="BodyText"/>
      </w:pPr>
      <w:r>
        <w:t xml:space="preserve">By documenting context, alternatives, trade-offs, and consequences, ADRs create an institutional memory that supports consistent decision-making, simplifies onboarding, and enables Investment OS to evolve without losing the rationale behind its architectural foundations.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2026-07-20T02:29:32Z</dcterms:created>
  <dcterms:modified xsi:type="dcterms:W3CDTF">2026-07-20T02:29:32Z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