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4-api-standards"/>
    <w:p>
      <w:pPr>
        <w:pStyle w:val="Heading1"/>
      </w:pPr>
      <w:r>
        <w:t xml:space="preserve">Chapter 04 – API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API Design Philosophy</w:t>
      </w:r>
    </w:p>
    <w:p>
      <w:pPr>
        <w:pStyle w:val="Compact"/>
        <w:numPr>
          <w:ilvl w:val="0"/>
          <w:numId w:val="1001"/>
        </w:numPr>
      </w:pPr>
      <w:r>
        <w:t xml:space="preserve">REST Principles</w:t>
      </w:r>
    </w:p>
    <w:p>
      <w:pPr>
        <w:pStyle w:val="Compact"/>
        <w:numPr>
          <w:ilvl w:val="0"/>
          <w:numId w:val="1001"/>
        </w:numPr>
      </w:pPr>
      <w:r>
        <w:t xml:space="preserve">API Versioning</w:t>
      </w:r>
    </w:p>
    <w:p>
      <w:pPr>
        <w:pStyle w:val="Compact"/>
        <w:numPr>
          <w:ilvl w:val="0"/>
          <w:numId w:val="1001"/>
        </w:numPr>
      </w:pPr>
      <w:r>
        <w:t xml:space="preserve">URL Standards</w:t>
      </w:r>
    </w:p>
    <w:p>
      <w:pPr>
        <w:pStyle w:val="Compact"/>
        <w:numPr>
          <w:ilvl w:val="0"/>
          <w:numId w:val="1001"/>
        </w:numPr>
      </w:pPr>
      <w:r>
        <w:t xml:space="preserve">HTTP Methods</w:t>
      </w:r>
    </w:p>
    <w:p>
      <w:pPr>
        <w:pStyle w:val="Compact"/>
        <w:numPr>
          <w:ilvl w:val="0"/>
          <w:numId w:val="1001"/>
        </w:numPr>
      </w:pPr>
      <w:r>
        <w:t xml:space="preserve">Request Standards</w:t>
      </w:r>
    </w:p>
    <w:p>
      <w:pPr>
        <w:pStyle w:val="Compact"/>
        <w:numPr>
          <w:ilvl w:val="0"/>
          <w:numId w:val="1001"/>
        </w:numPr>
      </w:pPr>
      <w:r>
        <w:t xml:space="preserve">Response Standards</w:t>
      </w:r>
    </w:p>
    <w:p>
      <w:pPr>
        <w:pStyle w:val="Compact"/>
        <w:numPr>
          <w:ilvl w:val="0"/>
          <w:numId w:val="1001"/>
        </w:numPr>
      </w:pPr>
      <w:r>
        <w:t xml:space="preserve">HTTP Status Codes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Pagination</w:t>
      </w:r>
    </w:p>
    <w:p>
      <w:pPr>
        <w:pStyle w:val="Compact"/>
        <w:numPr>
          <w:ilvl w:val="0"/>
          <w:numId w:val="1001"/>
        </w:numPr>
      </w:pPr>
      <w:r>
        <w:t xml:space="preserve">Filtering</w:t>
      </w:r>
    </w:p>
    <w:p>
      <w:pPr>
        <w:pStyle w:val="Compact"/>
        <w:numPr>
          <w:ilvl w:val="0"/>
          <w:numId w:val="1001"/>
        </w:numPr>
      </w:pPr>
      <w:r>
        <w:t xml:space="preserve">Sorting</w:t>
      </w:r>
    </w:p>
    <w:p>
      <w:pPr>
        <w:pStyle w:val="Compact"/>
        <w:numPr>
          <w:ilvl w:val="0"/>
          <w:numId w:val="1001"/>
        </w:numPr>
      </w:pPr>
      <w:r>
        <w:t xml:space="preserve">Field Selection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Authorization</w:t>
      </w:r>
    </w:p>
    <w:p>
      <w:pPr>
        <w:pStyle w:val="Compact"/>
        <w:numPr>
          <w:ilvl w:val="0"/>
          <w:numId w:val="1001"/>
        </w:numPr>
      </w:pPr>
      <w:r>
        <w:t xml:space="preserve">Rate Limiting</w:t>
      </w:r>
    </w:p>
    <w:p>
      <w:pPr>
        <w:pStyle w:val="Compact"/>
        <w:numPr>
          <w:ilvl w:val="0"/>
          <w:numId w:val="1001"/>
        </w:numPr>
      </w:pPr>
      <w:r>
        <w:t xml:space="preserve">Idempotency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File Upload APIs</w:t>
      </w:r>
    </w:p>
    <w:p>
      <w:pPr>
        <w:pStyle w:val="Compact"/>
        <w:numPr>
          <w:ilvl w:val="0"/>
          <w:numId w:val="1001"/>
        </w:numPr>
      </w:pPr>
      <w:r>
        <w:t xml:space="preserve">Long Running Operations</w:t>
      </w:r>
    </w:p>
    <w:p>
      <w:pPr>
        <w:pStyle w:val="Compact"/>
        <w:numPr>
          <w:ilvl w:val="0"/>
          <w:numId w:val="1001"/>
        </w:numPr>
      </w:pPr>
      <w:r>
        <w:t xml:space="preserve">API Documentation</w:t>
      </w:r>
    </w:p>
    <w:p>
      <w:pPr>
        <w:pStyle w:val="Compact"/>
        <w:numPr>
          <w:ilvl w:val="0"/>
          <w:numId w:val="1001"/>
        </w:numPr>
      </w:pPr>
      <w:r>
        <w:t xml:space="preserve">Performance Guidelines</w:t>
      </w:r>
    </w:p>
    <w:p>
      <w:pPr>
        <w:pStyle w:val="Compact"/>
        <w:numPr>
          <w:ilvl w:val="0"/>
          <w:numId w:val="1001"/>
        </w:numPr>
      </w:pPr>
      <w:r>
        <w:t xml:space="preserve">Security Guidelines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Deprecation Policy</w:t>
      </w:r>
    </w:p>
    <w:p>
      <w:pPr>
        <w:pStyle w:val="Compact"/>
        <w:numPr>
          <w:ilvl w:val="0"/>
          <w:numId w:val="1001"/>
        </w:numPr>
      </w:pPr>
      <w:r>
        <w:t xml:space="preserve">Version Migration</w:t>
      </w:r>
    </w:p>
    <w:p>
      <w:pPr>
        <w:pStyle w:val="Compact"/>
        <w:numPr>
          <w:ilvl w:val="0"/>
          <w:numId w:val="1001"/>
        </w:numPr>
      </w:pPr>
      <w:r>
        <w:t xml:space="preserve">API Review Checklist</w:t>
      </w:r>
    </w:p>
    <w:p>
      <w:pPr>
        <w:pStyle w:val="Compact"/>
        <w:numPr>
          <w:ilvl w:val="0"/>
          <w:numId w:val="1001"/>
        </w:numPr>
      </w:pPr>
      <w:r>
        <w:t xml:space="preserve">Common 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API design standards for Investment OS.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Consistent API design</w:t>
      </w:r>
    </w:p>
    <w:p>
      <w:pPr>
        <w:pStyle w:val="Compact"/>
        <w:numPr>
          <w:ilvl w:val="0"/>
          <w:numId w:val="1002"/>
        </w:numPr>
      </w:pPr>
      <w:r>
        <w:t xml:space="preserve">Predictable behavior</w:t>
      </w:r>
    </w:p>
    <w:p>
      <w:pPr>
        <w:pStyle w:val="Compact"/>
        <w:numPr>
          <w:ilvl w:val="0"/>
          <w:numId w:val="1002"/>
        </w:numPr>
      </w:pPr>
      <w:r>
        <w:t xml:space="preserve">High usability</w:t>
      </w:r>
    </w:p>
    <w:p>
      <w:pPr>
        <w:pStyle w:val="Compact"/>
        <w:numPr>
          <w:ilvl w:val="0"/>
          <w:numId w:val="1002"/>
        </w:numPr>
      </w:pPr>
      <w:r>
        <w:t xml:space="preserve">Strong security</w:t>
      </w:r>
    </w:p>
    <w:p>
      <w:pPr>
        <w:pStyle w:val="Compact"/>
        <w:numPr>
          <w:ilvl w:val="0"/>
          <w:numId w:val="1002"/>
        </w:numPr>
      </w:pPr>
      <w:r>
        <w:t xml:space="preserve">Easy integration</w:t>
      </w:r>
    </w:p>
    <w:p>
      <w:pPr>
        <w:pStyle w:val="Compact"/>
        <w:numPr>
          <w:ilvl w:val="0"/>
          <w:numId w:val="1002"/>
        </w:numPr>
      </w:pPr>
      <w:r>
        <w:t xml:space="preserve">Long-term maintainability</w:t>
      </w:r>
    </w:p>
    <w:p>
      <w:pPr>
        <w:pStyle w:val="FirstParagraph"/>
      </w:pPr>
      <w:r>
        <w:t xml:space="preserve">Every public and internal HTTP API must comply with these standards.</w:t>
      </w:r>
    </w:p>
    <w:p>
      <w:r>
        <w:pict>
          <v:rect style="width:0;height:1.5pt" o:hralign="center" o:hrstd="t" o:hr="t"/>
        </w:pict>
      </w:r>
    </w:p>
    <w:bookmarkEnd w:id="23"/>
    <w:bookmarkStart w:id="24" w:name="api-design-philosophy"/>
    <w:p>
      <w:pPr>
        <w:pStyle w:val="Heading1"/>
      </w:pPr>
      <w:r>
        <w:t xml:space="preserve">2. API Design Philosophy</w:t>
      </w:r>
    </w:p>
    <w:p>
      <w:pPr>
        <w:pStyle w:val="FirstParagraph"/>
      </w:pPr>
      <w:r>
        <w:t xml:space="preserve">APIs are products.</w:t>
      </w:r>
    </w:p>
    <w:p>
      <w:pPr>
        <w:pStyle w:val="BodyText"/>
      </w:pPr>
      <w:r>
        <w:t xml:space="preserve">A well-designed API should be:</w:t>
      </w:r>
    </w:p>
    <w:p>
      <w:pPr>
        <w:pStyle w:val="Compact"/>
        <w:numPr>
          <w:ilvl w:val="0"/>
          <w:numId w:val="1003"/>
        </w:numPr>
      </w:pPr>
      <w:r>
        <w:t xml:space="preserve">Simple</w:t>
      </w:r>
    </w:p>
    <w:p>
      <w:pPr>
        <w:pStyle w:val="Compact"/>
        <w:numPr>
          <w:ilvl w:val="0"/>
          <w:numId w:val="1003"/>
        </w:numPr>
      </w:pPr>
      <w:r>
        <w:t xml:space="preserve">Consistent</w:t>
      </w:r>
    </w:p>
    <w:p>
      <w:pPr>
        <w:pStyle w:val="Compact"/>
        <w:numPr>
          <w:ilvl w:val="0"/>
          <w:numId w:val="1003"/>
        </w:numPr>
      </w:pPr>
      <w:r>
        <w:t xml:space="preserve">Discoverable</w:t>
      </w:r>
    </w:p>
    <w:p>
      <w:pPr>
        <w:pStyle w:val="Compact"/>
        <w:numPr>
          <w:ilvl w:val="0"/>
          <w:numId w:val="1003"/>
        </w:numPr>
      </w:pPr>
      <w:r>
        <w:t xml:space="preserve">Secure</w:t>
      </w:r>
    </w:p>
    <w:p>
      <w:pPr>
        <w:pStyle w:val="Compact"/>
        <w:numPr>
          <w:ilvl w:val="0"/>
          <w:numId w:val="1003"/>
        </w:numPr>
      </w:pPr>
      <w:r>
        <w:t xml:space="preserve">Backward compatible</w:t>
      </w:r>
    </w:p>
    <w:p>
      <w:pPr>
        <w:pStyle w:val="Compact"/>
        <w:numPr>
          <w:ilvl w:val="0"/>
          <w:numId w:val="1003"/>
        </w:numPr>
      </w:pPr>
      <w:r>
        <w:t xml:space="preserve">Self-documenting</w:t>
      </w:r>
    </w:p>
    <w:p>
      <w:pPr>
        <w:pStyle w:val="FirstParagraph"/>
      </w:pPr>
      <w:r>
        <w:t xml:space="preserve">Design APIs around business resources rather than database tables.</w:t>
      </w:r>
    </w:p>
    <w:p>
      <w:r>
        <w:pict>
          <v:rect style="width:0;height:1.5pt" o:hralign="center" o:hrstd="t" o:hr="t"/>
        </w:pict>
      </w:r>
    </w:p>
    <w:bookmarkEnd w:id="24"/>
    <w:bookmarkStart w:id="25" w:name="rest-principles"/>
    <w:p>
      <w:pPr>
        <w:pStyle w:val="Heading1"/>
      </w:pPr>
      <w:r>
        <w:t xml:space="preserve">3. REST Principles</w:t>
      </w:r>
    </w:p>
    <w:p>
      <w:pPr>
        <w:pStyle w:val="FirstParagraph"/>
      </w:pPr>
      <w:r>
        <w:t xml:space="preserve">REST principles adopted:</w:t>
      </w:r>
    </w:p>
    <w:p>
      <w:pPr>
        <w:pStyle w:val="Compact"/>
        <w:numPr>
          <w:ilvl w:val="0"/>
          <w:numId w:val="1004"/>
        </w:numPr>
      </w:pPr>
      <w:r>
        <w:t xml:space="preserve">Resource-oriented URLs</w:t>
      </w:r>
    </w:p>
    <w:p>
      <w:pPr>
        <w:pStyle w:val="Compact"/>
        <w:numPr>
          <w:ilvl w:val="0"/>
          <w:numId w:val="1004"/>
        </w:numPr>
      </w:pPr>
      <w:r>
        <w:t xml:space="preserve">Stateless requests</w:t>
      </w:r>
    </w:p>
    <w:p>
      <w:pPr>
        <w:pStyle w:val="Compact"/>
        <w:numPr>
          <w:ilvl w:val="0"/>
          <w:numId w:val="1004"/>
        </w:numPr>
      </w:pPr>
      <w:r>
        <w:t xml:space="preserve">Standard HTTP methods</w:t>
      </w:r>
    </w:p>
    <w:p>
      <w:pPr>
        <w:pStyle w:val="Compact"/>
        <w:numPr>
          <w:ilvl w:val="0"/>
          <w:numId w:val="1004"/>
        </w:numPr>
      </w:pPr>
      <w:r>
        <w:t xml:space="preserve">Standard HTTP status codes</w:t>
      </w:r>
    </w:p>
    <w:p>
      <w:pPr>
        <w:pStyle w:val="Compact"/>
        <w:numPr>
          <w:ilvl w:val="0"/>
          <w:numId w:val="1004"/>
        </w:numPr>
      </w:pPr>
      <w:r>
        <w:t xml:space="preserve">Cache-friendly responses where applicable</w:t>
      </w:r>
    </w:p>
    <w:p>
      <w:pPr>
        <w:pStyle w:val="Compact"/>
        <w:numPr>
          <w:ilvl w:val="0"/>
          <w:numId w:val="1004"/>
        </w:numPr>
      </w:pPr>
      <w:r>
        <w:t xml:space="preserve">Uniform interface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/startups</w:t>
      </w:r>
      <w:r>
        <w:br/>
      </w:r>
      <w:r>
        <w:rPr>
          <w:rStyle w:val="VerbatimChar"/>
        </w:rPr>
        <w:t xml:space="preserve">/founders</w:t>
      </w:r>
      <w:r>
        <w:br/>
      </w:r>
      <w:r>
        <w:rPr>
          <w:rStyle w:val="VerbatimChar"/>
        </w:rPr>
        <w:t xml:space="preserve">/investments</w:t>
      </w:r>
      <w:r>
        <w:br/>
      </w:r>
      <w:r>
        <w:rPr>
          <w:rStyle w:val="VerbatimChar"/>
        </w:rPr>
        <w:t xml:space="preserve">/portfolios</w:t>
      </w:r>
      <w:r>
        <w:br/>
      </w:r>
      <w:r>
        <w:rPr>
          <w:rStyle w:val="VerbatimChar"/>
        </w:rPr>
        <w:t xml:space="preserve">/documents</w:t>
      </w:r>
    </w:p>
    <w:p>
      <w:pPr>
        <w:pStyle w:val="FirstParagraph"/>
      </w:pPr>
      <w:r>
        <w:t xml:space="preserve">Avoid verbs in resource names.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POST /investments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/createInvestment</w:t>
      </w:r>
    </w:p>
    <w:p>
      <w:r>
        <w:pict>
          <v:rect style="width:0;height:1.5pt" o:hralign="center" o:hrstd="t" o:hr="t"/>
        </w:pict>
      </w:r>
    </w:p>
    <w:bookmarkEnd w:id="25"/>
    <w:bookmarkStart w:id="26" w:name="api-versioning"/>
    <w:p>
      <w:pPr>
        <w:pStyle w:val="Heading1"/>
      </w:pPr>
      <w:r>
        <w:t xml:space="preserve">4. API Versioning</w:t>
      </w:r>
    </w:p>
    <w:p>
      <w:pPr>
        <w:pStyle w:val="FirstParagraph"/>
      </w:pPr>
      <w:r>
        <w:t xml:space="preserve">Every endpoint must include an explicit version.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/api/v1/startups</w:t>
      </w:r>
    </w:p>
    <w:p>
      <w:pPr>
        <w:pStyle w:val="FirstParagraph"/>
      </w:pPr>
      <w:r>
        <w:t xml:space="preserve">Future versions:</w:t>
      </w:r>
    </w:p>
    <w:p>
      <w:pPr>
        <w:pStyle w:val="SourceCode"/>
      </w:pPr>
      <w:r>
        <w:rPr>
          <w:rStyle w:val="VerbatimChar"/>
        </w:rPr>
        <w:t xml:space="preserve">/api/v2/startups</w:t>
      </w:r>
    </w:p>
    <w:p>
      <w:pPr>
        <w:pStyle w:val="FirstParagraph"/>
      </w:pPr>
      <w:r>
        <w:t xml:space="preserve">Major versions indicate breaking changes.</w:t>
      </w:r>
    </w:p>
    <w:p>
      <w:pPr>
        <w:pStyle w:val="BodyText"/>
      </w:pPr>
      <w:r>
        <w:t xml:space="preserve">Minor enhancements should remain backward compatible.</w:t>
      </w:r>
    </w:p>
    <w:p>
      <w:r>
        <w:pict>
          <v:rect style="width:0;height:1.5pt" o:hralign="center" o:hrstd="t" o:hr="t"/>
        </w:pict>
      </w:r>
    </w:p>
    <w:bookmarkEnd w:id="26"/>
    <w:bookmarkStart w:id="27" w:name="url-standards"/>
    <w:p>
      <w:pPr>
        <w:pStyle w:val="Heading1"/>
      </w:pPr>
      <w:r>
        <w:t xml:space="preserve">5. URL Standards</w:t>
      </w:r>
    </w:p>
    <w:p>
      <w:pPr>
        <w:pStyle w:val="FirstParagraph"/>
      </w:pPr>
      <w:r>
        <w:t xml:space="preserve">Use lowercase.</w:t>
      </w:r>
    </w:p>
    <w:p>
      <w:pPr>
        <w:pStyle w:val="BodyText"/>
      </w:pPr>
      <w:r>
        <w:t xml:space="preserve">Use plural nouns.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/api/v1/startups</w:t>
      </w:r>
      <w:r>
        <w:br/>
      </w:r>
      <w:r>
        <w:rPr>
          <w:rStyle w:val="VerbatimChar"/>
        </w:rPr>
        <w:t xml:space="preserve">/api/v1/founders</w:t>
      </w:r>
      <w:r>
        <w:br/>
      </w:r>
      <w:r>
        <w:rPr>
          <w:rStyle w:val="VerbatimChar"/>
        </w:rPr>
        <w:t xml:space="preserve">/api/v1/portfolios</w:t>
      </w:r>
    </w:p>
    <w:p>
      <w:pPr>
        <w:pStyle w:val="FirstParagraph"/>
      </w:pPr>
      <w:r>
        <w:t xml:space="preserve">Nested resources:</w:t>
      </w:r>
    </w:p>
    <w:p>
      <w:pPr>
        <w:pStyle w:val="SourceCode"/>
      </w:pPr>
      <w:r>
        <w:rPr>
          <w:rStyle w:val="VerbatimChar"/>
        </w:rPr>
        <w:t xml:space="preserve">/api/v1/startups/{startup_id}/investments</w:t>
      </w:r>
    </w:p>
    <w:p>
      <w:pPr>
        <w:pStyle w:val="FirstParagraph"/>
      </w:pPr>
      <w:r>
        <w:t xml:space="preserve">Avoid deep nesting beyond two resource levels.</w:t>
      </w:r>
    </w:p>
    <w:p>
      <w:r>
        <w:pict>
          <v:rect style="width:0;height:1.5pt" o:hralign="center" o:hrstd="t" o:hr="t"/>
        </w:pict>
      </w:r>
    </w:p>
    <w:bookmarkEnd w:id="27"/>
    <w:bookmarkStart w:id="28" w:name="http-methods"/>
    <w:p>
      <w:pPr>
        <w:pStyle w:val="Heading1"/>
      </w:pPr>
      <w:r>
        <w:t xml:space="preserve">6. HTTP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GET    /api/v1/startups</w:t>
      </w:r>
      <w:r>
        <w:br/>
      </w:r>
      <w:r>
        <w:rPr>
          <w:rStyle w:val="VerbatimChar"/>
        </w:rPr>
        <w:t xml:space="preserve">POST   /api/v1/startups</w:t>
      </w:r>
      <w:r>
        <w:br/>
      </w:r>
      <w:r>
        <w:rPr>
          <w:rStyle w:val="VerbatimChar"/>
        </w:rPr>
        <w:t xml:space="preserve">GET    /api/v1/startups/{id}</w:t>
      </w:r>
      <w:r>
        <w:br/>
      </w:r>
      <w:r>
        <w:rPr>
          <w:rStyle w:val="VerbatimChar"/>
        </w:rPr>
        <w:t xml:space="preserve">PATCH  /api/v1/startups/{id}</w:t>
      </w:r>
      <w:r>
        <w:br/>
      </w:r>
      <w:r>
        <w:rPr>
          <w:rStyle w:val="VerbatimChar"/>
        </w:rPr>
        <w:t xml:space="preserve">DELETE /api/v1/startups/{id}</w:t>
      </w:r>
    </w:p>
    <w:p>
      <w:r>
        <w:pict>
          <v:rect style="width:0;height:1.5pt" o:hralign="center" o:hrstd="t" o:hr="t"/>
        </w:pict>
      </w:r>
    </w:p>
    <w:bookmarkEnd w:id="28"/>
    <w:bookmarkStart w:id="29" w:name="request-standards"/>
    <w:p>
      <w:pPr>
        <w:pStyle w:val="Heading1"/>
      </w:pPr>
      <w:r>
        <w:t xml:space="preserve">7. Request Standards</w:t>
      </w:r>
    </w:p>
    <w:p>
      <w:pPr>
        <w:pStyle w:val="FirstParagraph"/>
      </w:pPr>
      <w:r>
        <w:t xml:space="preserve">Request bodies must use JSON unless binary data is required.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Startup"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Content-Type:</w:t>
      </w:r>
    </w:p>
    <w:p>
      <w:pPr>
        <w:pStyle w:val="SourceCode"/>
      </w:pPr>
      <w:r>
        <w:rPr>
          <w:rStyle w:val="VerbatimChar"/>
        </w:rPr>
        <w:t xml:space="preserve">application/json</w:t>
      </w:r>
    </w:p>
    <w:p>
      <w:pPr>
        <w:pStyle w:val="FirstParagraph"/>
      </w:pPr>
      <w:r>
        <w:t xml:space="preserve">Character encoding:</w:t>
      </w:r>
    </w:p>
    <w:p>
      <w:pPr>
        <w:pStyle w:val="SourceCode"/>
      </w:pPr>
      <w:r>
        <w:rPr>
          <w:rStyle w:val="VerbatimChar"/>
        </w:rPr>
        <w:t xml:space="preserve">UTF-8</w:t>
      </w:r>
    </w:p>
    <w:p>
      <w:r>
        <w:pict>
          <v:rect style="width:0;height:1.5pt" o:hralign="center" o:hrstd="t" o:hr="t"/>
        </w:pict>
      </w:r>
    </w:p>
    <w:bookmarkEnd w:id="29"/>
    <w:bookmarkStart w:id="30" w:name="response-standards"/>
    <w:p>
      <w:pPr>
        <w:pStyle w:val="Heading1"/>
      </w:pPr>
      <w:r>
        <w:t xml:space="preserve">8. Response Standards</w:t>
      </w:r>
    </w:p>
    <w:p>
      <w:pPr>
        <w:pStyle w:val="FirstParagraph"/>
      </w:pPr>
      <w:r>
        <w:t xml:space="preserve">Responses should be consistent.</w:t>
      </w:r>
    </w:p>
    <w:p>
      <w:pPr>
        <w:pStyle w:val="BodyText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Startup"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Collection: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Metadata should remain separate from business data.</w:t>
      </w:r>
    </w:p>
    <w:p>
      <w:r>
        <w:pict>
          <v:rect style="width:0;height:1.5pt" o:hralign="center" o:hrstd="t" o:hr="t"/>
        </w:pict>
      </w:r>
    </w:p>
    <w:bookmarkEnd w:id="30"/>
    <w:bookmarkStart w:id="31" w:name="http-status-codes"/>
    <w:p>
      <w:pPr>
        <w:pStyle w:val="Heading1"/>
      </w:pPr>
      <w:r>
        <w:t xml:space="preserve">9. HTTP Status Codes</w:t>
      </w:r>
    </w:p>
    <w:p>
      <w:pPr>
        <w:pStyle w:val="FirstParagraph"/>
      </w:pPr>
      <w:r>
        <w:t xml:space="preserve">Use standard HTTP semantics.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No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</w:tr>
    </w:tbl>
    <w:p>
      <w:pPr>
        <w:pStyle w:val="BodyText"/>
      </w:pPr>
      <w:r>
        <w:t xml:space="preserve">Do not overload status codes.</w:t>
      </w:r>
    </w:p>
    <w:p>
      <w:r>
        <w:pict>
          <v:rect style="width:0;height:1.5pt" o:hralign="center" o:hrstd="t" o:hr="t"/>
        </w:pict>
      </w:r>
    </w:p>
    <w:bookmarkEnd w:id="31"/>
    <w:bookmarkStart w:id="32" w:name="error-handling"/>
    <w:p>
      <w:pPr>
        <w:pStyle w:val="Heading1"/>
      </w:pPr>
      <w:r>
        <w:t xml:space="preserve">10. Error Handling</w:t>
      </w:r>
    </w:p>
    <w:p>
      <w:pPr>
        <w:pStyle w:val="FirstParagraph"/>
      </w:pPr>
      <w:r>
        <w:t xml:space="preserve">Every error response follows a standard schema.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"STARTUP_ALREADY_EXISTS"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"Startup already exists."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should be machine-readable.</w:t>
      </w:r>
    </w:p>
    <w:p>
      <w:pPr>
        <w:pStyle w:val="BodyText"/>
      </w:pPr>
      <w:r>
        <w:t xml:space="preserve">Messages should remain human-readable.</w:t>
      </w:r>
    </w:p>
    <w:p>
      <w:r>
        <w:pict>
          <v:rect style="width:0;height:1.5pt" o:hralign="center" o:hrstd="t" o:hr="t"/>
        </w:pict>
      </w:r>
    </w:p>
    <w:bookmarkEnd w:id="32"/>
    <w:bookmarkStart w:id="33" w:name="pagination"/>
    <w:p>
      <w:pPr>
        <w:pStyle w:val="Heading1"/>
      </w:pPr>
      <w:r>
        <w:t xml:space="preserve">11. Pagination</w:t>
      </w:r>
    </w:p>
    <w:p>
      <w:pPr>
        <w:pStyle w:val="FirstParagraph"/>
      </w:pPr>
      <w:r>
        <w:t xml:space="preserve">Large collections require pagination.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/startups?page=2&amp;page_size=50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Avoid returning unbounded collections.</w:t>
      </w:r>
    </w:p>
    <w:p>
      <w:r>
        <w:pict>
          <v:rect style="width:0;height:1.5pt" o:hralign="center" o:hrstd="t" o:hr="t"/>
        </w:pict>
      </w:r>
    </w:p>
    <w:bookmarkEnd w:id="33"/>
    <w:bookmarkStart w:id="34" w:name="filtering"/>
    <w:p>
      <w:pPr>
        <w:pStyle w:val="Heading1"/>
      </w:pPr>
      <w:r>
        <w:t xml:space="preserve">12. Filtering</w:t>
      </w:r>
    </w:p>
    <w:p>
      <w:pPr>
        <w:pStyle w:val="FirstParagraph"/>
      </w:pPr>
      <w:r>
        <w:t xml:space="preserve">Use query parameters.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/startups?sector=AI</w:t>
      </w:r>
      <w:r>
        <w:br/>
      </w:r>
      <w:r>
        <w:rPr>
          <w:rStyle w:val="VerbatimChar"/>
        </w:rPr>
        <w:t xml:space="preserve">GET /startups?country=India</w:t>
      </w:r>
      <w:r>
        <w:br/>
      </w:r>
      <w:r>
        <w:rPr>
          <w:rStyle w:val="VerbatimChar"/>
        </w:rPr>
        <w:t xml:space="preserve">GET /startups?stage=Seed</w:t>
      </w:r>
    </w:p>
    <w:p>
      <w:pPr>
        <w:pStyle w:val="FirstParagraph"/>
      </w:pPr>
      <w:r>
        <w:t xml:space="preserve">Multiple filters may be combined.</w:t>
      </w:r>
    </w:p>
    <w:p>
      <w:pPr>
        <w:pStyle w:val="BodyText"/>
      </w:pPr>
      <w:r>
        <w:t xml:space="preserve">Filtering should remain predictable and documented.</w:t>
      </w:r>
    </w:p>
    <w:p>
      <w:r>
        <w:pict>
          <v:rect style="width:0;height:1.5pt" o:hralign="center" o:hrstd="t" o:hr="t"/>
        </w:pict>
      </w:r>
    </w:p>
    <w:bookmarkEnd w:id="34"/>
    <w:bookmarkStart w:id="35" w:name="sorting"/>
    <w:p>
      <w:pPr>
        <w:pStyle w:val="Heading1"/>
      </w:pPr>
      <w:r>
        <w:t xml:space="preserve">13. Sorting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/investments?sort=created_at</w:t>
      </w:r>
      <w:r>
        <w:br/>
      </w:r>
      <w:r>
        <w:rPr>
          <w:rStyle w:val="VerbatimChar"/>
        </w:rPr>
        <w:t xml:space="preserve">GET /investments?sort=-valuation</w:t>
      </w:r>
    </w:p>
    <w:p>
      <w:pPr>
        <w:pStyle w:val="FirstParagraph"/>
      </w:pPr>
      <w:r>
        <w:t xml:space="preserve">Convention:</w:t>
      </w:r>
    </w:p>
    <w:p>
      <w:pPr>
        <w:pStyle w:val="Compact"/>
        <w:numPr>
          <w:ilvl w:val="0"/>
          <w:numId w:val="1005"/>
        </w:numPr>
      </w:pPr>
      <w:r>
        <w:t xml:space="preserve">Ascending: field</w:t>
      </w:r>
    </w:p>
    <w:p>
      <w:pPr>
        <w:pStyle w:val="Compact"/>
        <w:numPr>
          <w:ilvl w:val="0"/>
          <w:numId w:val="1005"/>
        </w:numPr>
      </w:pPr>
      <w:r>
        <w:t xml:space="preserve">Descending: -field</w:t>
      </w:r>
    </w:p>
    <w:p>
      <w:r>
        <w:pict>
          <v:rect style="width:0;height:1.5pt" o:hralign="center" o:hrstd="t" o:hr="t"/>
        </w:pict>
      </w:r>
    </w:p>
    <w:bookmarkEnd w:id="35"/>
    <w:bookmarkStart w:id="36" w:name="field-selection"/>
    <w:p>
      <w:pPr>
        <w:pStyle w:val="Heading1"/>
      </w:pPr>
      <w:r>
        <w:t xml:space="preserve">14. Field Selection</w:t>
      </w:r>
    </w:p>
    <w:p>
      <w:pPr>
        <w:pStyle w:val="FirstParagraph"/>
      </w:pPr>
      <w:r>
        <w:t xml:space="preserve">Allow clients to request subsets of fields when beneficial.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/startups?fields=id,name,sector</w:t>
      </w:r>
    </w:p>
    <w:p>
      <w:pPr>
        <w:pStyle w:val="FirstParagraph"/>
      </w:pPr>
      <w:r>
        <w:t xml:space="preserve">This reduces payload size and improves performance.</w:t>
      </w:r>
    </w:p>
    <w:p>
      <w:r>
        <w:pict>
          <v:rect style="width:0;height:1.5pt" o:hralign="center" o:hrstd="t" o:hr="t"/>
        </w:pict>
      </w:r>
    </w:p>
    <w:bookmarkEnd w:id="36"/>
    <w:bookmarkStart w:id="37" w:name="authentication"/>
    <w:p>
      <w:pPr>
        <w:pStyle w:val="Heading1"/>
      </w:pPr>
      <w:r>
        <w:t xml:space="preserve">15. Authentication</w:t>
      </w:r>
    </w:p>
    <w:p>
      <w:pPr>
        <w:pStyle w:val="FirstParagraph"/>
      </w:pPr>
      <w:r>
        <w:t xml:space="preserve">Primary authentication:</w:t>
      </w:r>
    </w:p>
    <w:p>
      <w:pPr>
        <w:pStyle w:val="Compact"/>
        <w:numPr>
          <w:ilvl w:val="0"/>
          <w:numId w:val="1006"/>
        </w:numPr>
      </w:pPr>
      <w:r>
        <w:t xml:space="preserve">OAuth2/JWT</w:t>
      </w:r>
    </w:p>
    <w:p>
      <w:pPr>
        <w:pStyle w:val="FirstParagraph"/>
      </w:pPr>
      <w:r>
        <w:t xml:space="preserve">Authorization header: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Tokens should have finite lifetimes and support renewal.</w:t>
      </w:r>
    </w:p>
    <w:p>
      <w:r>
        <w:pict>
          <v:rect style="width:0;height:1.5pt" o:hralign="center" o:hrstd="t" o:hr="t"/>
        </w:pict>
      </w:r>
    </w:p>
    <w:bookmarkEnd w:id="37"/>
    <w:bookmarkStart w:id="38" w:name="authorization"/>
    <w:p>
      <w:pPr>
        <w:pStyle w:val="Heading1"/>
      </w:pPr>
      <w:r>
        <w:t xml:space="preserve">16. Authorization</w:t>
      </w:r>
    </w:p>
    <w:p>
      <w:pPr>
        <w:pStyle w:val="FirstParagraph"/>
      </w:pPr>
      <w:r>
        <w:t xml:space="preserve">Use Role-Based Access Control (RBAC).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Administrator</w:t>
      </w:r>
    </w:p>
    <w:p>
      <w:pPr>
        <w:pStyle w:val="Compact"/>
        <w:numPr>
          <w:ilvl w:val="0"/>
          <w:numId w:val="1007"/>
        </w:numPr>
      </w:pPr>
      <w:r>
        <w:t xml:space="preserve">Investment Manager</w:t>
      </w:r>
    </w:p>
    <w:p>
      <w:pPr>
        <w:pStyle w:val="Compact"/>
        <w:numPr>
          <w:ilvl w:val="0"/>
          <w:numId w:val="1007"/>
        </w:numPr>
      </w:pPr>
      <w:r>
        <w:t xml:space="preserve">Analyst</w:t>
      </w:r>
    </w:p>
    <w:p>
      <w:pPr>
        <w:pStyle w:val="Compact"/>
        <w:numPr>
          <w:ilvl w:val="0"/>
          <w:numId w:val="1007"/>
        </w:numPr>
      </w:pPr>
      <w:r>
        <w:t xml:space="preserve">Viewer</w:t>
      </w:r>
    </w:p>
    <w:p>
      <w:pPr>
        <w:pStyle w:val="FirstParagraph"/>
      </w:pPr>
      <w:r>
        <w:t xml:space="preserve">Authorization checks belong in the service or security layer, not scattered across endpoints.</w:t>
      </w:r>
    </w:p>
    <w:p>
      <w:r>
        <w:pict>
          <v:rect style="width:0;height:1.5pt" o:hralign="center" o:hrstd="t" o:hr="t"/>
        </w:pict>
      </w:r>
    </w:p>
    <w:bookmarkEnd w:id="38"/>
    <w:bookmarkStart w:id="39" w:name="rate-limiting"/>
    <w:p>
      <w:pPr>
        <w:pStyle w:val="Heading1"/>
      </w:pPr>
      <w:r>
        <w:t xml:space="preserve">17. Rate Limiting</w:t>
      </w:r>
    </w:p>
    <w:p>
      <w:pPr>
        <w:pStyle w:val="FirstParagraph"/>
      </w:pPr>
      <w:r>
        <w:t xml:space="preserve">Protect public APIs.</w:t>
      </w:r>
    </w:p>
    <w:p>
      <w:pPr>
        <w:pStyle w:val="BodyText"/>
      </w:pPr>
      <w:r>
        <w:t xml:space="preserve">Example policy:</w:t>
      </w:r>
    </w:p>
    <w:p>
      <w:pPr>
        <w:pStyle w:val="Compact"/>
        <w:numPr>
          <w:ilvl w:val="0"/>
          <w:numId w:val="1008"/>
        </w:numPr>
      </w:pPr>
      <w:r>
        <w:t xml:space="preserve">100 requests/minute (standard)</w:t>
      </w:r>
    </w:p>
    <w:p>
      <w:pPr>
        <w:pStyle w:val="Compact"/>
        <w:numPr>
          <w:ilvl w:val="0"/>
          <w:numId w:val="1008"/>
        </w:numPr>
      </w:pPr>
      <w:r>
        <w:t xml:space="preserve">Higher limits for trusted internal services</w:t>
      </w:r>
    </w:p>
    <w:p>
      <w:pPr>
        <w:pStyle w:val="FirstParagraph"/>
      </w:pPr>
      <w:r>
        <w:t xml:space="preserve">Responses should include appropriate headers where applicable.</w:t>
      </w:r>
    </w:p>
    <w:p>
      <w:r>
        <w:pict>
          <v:rect style="width:0;height:1.5pt" o:hralign="center" o:hrstd="t" o:hr="t"/>
        </w:pict>
      </w:r>
    </w:p>
    <w:bookmarkEnd w:id="39"/>
    <w:bookmarkStart w:id="40" w:name="idempotency"/>
    <w:p>
      <w:pPr>
        <w:pStyle w:val="Heading1"/>
      </w:pPr>
      <w:r>
        <w:t xml:space="preserve">18. Idempotency</w:t>
      </w:r>
    </w:p>
    <w:p>
      <w:pPr>
        <w:pStyle w:val="FirstParagraph"/>
      </w:pPr>
      <w:r>
        <w:t xml:space="preserve">POST endpoints that create financial or external side effects should support idempotency.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Idempotency-Key: 5f8e...</w:t>
      </w:r>
    </w:p>
    <w:p>
      <w:pPr>
        <w:pStyle w:val="FirstParagraph"/>
      </w:pPr>
      <w:r>
        <w:t xml:space="preserve">Duplicate requests with the same key should not create duplicate resources.</w:t>
      </w:r>
    </w:p>
    <w:p>
      <w:r>
        <w:pict>
          <v:rect style="width:0;height:1.5pt" o:hralign="center" o:hrstd="t" o:hr="t"/>
        </w:pict>
      </w:r>
    </w:p>
    <w:bookmarkEnd w:id="40"/>
    <w:bookmarkStart w:id="41" w:name="validation"/>
    <w:p>
      <w:pPr>
        <w:pStyle w:val="Heading1"/>
      </w:pPr>
      <w:r>
        <w:t xml:space="preserve">19. Validation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09"/>
        </w:numPr>
      </w:pPr>
      <w:r>
        <w:t xml:space="preserve">Required fields</w:t>
      </w:r>
    </w:p>
    <w:p>
      <w:pPr>
        <w:pStyle w:val="Compact"/>
        <w:numPr>
          <w:ilvl w:val="0"/>
          <w:numId w:val="1009"/>
        </w:numPr>
      </w:pPr>
      <w:r>
        <w:t xml:space="preserve">Data types</w:t>
      </w:r>
    </w:p>
    <w:p>
      <w:pPr>
        <w:pStyle w:val="Compact"/>
        <w:numPr>
          <w:ilvl w:val="0"/>
          <w:numId w:val="1009"/>
        </w:numPr>
      </w:pPr>
      <w:r>
        <w:t xml:space="preserve">Length constraints</w:t>
      </w:r>
    </w:p>
    <w:p>
      <w:pPr>
        <w:pStyle w:val="Compact"/>
        <w:numPr>
          <w:ilvl w:val="0"/>
          <w:numId w:val="1009"/>
        </w:numPr>
      </w:pPr>
      <w:r>
        <w:t xml:space="preserve">Enumerations</w:t>
      </w:r>
    </w:p>
    <w:p>
      <w:pPr>
        <w:pStyle w:val="Compact"/>
        <w:numPr>
          <w:ilvl w:val="0"/>
          <w:numId w:val="1009"/>
        </w:numPr>
      </w:pPr>
      <w:r>
        <w:t xml:space="preserve">Numeric ranges</w:t>
      </w:r>
    </w:p>
    <w:p>
      <w:pPr>
        <w:pStyle w:val="Compact"/>
        <w:numPr>
          <w:ilvl w:val="0"/>
          <w:numId w:val="1009"/>
        </w:numPr>
      </w:pPr>
      <w:r>
        <w:t xml:space="preserve">Business invariants</w:t>
      </w:r>
    </w:p>
    <w:p>
      <w:pPr>
        <w:pStyle w:val="FirstParagraph"/>
      </w:pPr>
      <w:r>
        <w:t xml:space="preserve">Use Pydantic models for request validation.</w:t>
      </w:r>
    </w:p>
    <w:p>
      <w:pPr>
        <w:pStyle w:val="BodyText"/>
      </w:pPr>
      <w:r>
        <w:t xml:space="preserve">Business rule validation belongs in the service layer.</w:t>
      </w:r>
    </w:p>
    <w:p>
      <w:r>
        <w:pict>
          <v:rect style="width:0;height:1.5pt" o:hralign="center" o:hrstd="t" o:hr="t"/>
        </w:pict>
      </w:r>
    </w:p>
    <w:bookmarkEnd w:id="41"/>
    <w:bookmarkStart w:id="42" w:name="file-upload-apis"/>
    <w:p>
      <w:pPr>
        <w:pStyle w:val="Heading1"/>
      </w:pPr>
      <w:r>
        <w:t xml:space="preserve">20. File Upload APIs</w:t>
      </w:r>
    </w:p>
    <w:p>
      <w:pPr>
        <w:pStyle w:val="FirstParagraph"/>
      </w:pPr>
      <w:r>
        <w:t xml:space="preserve">Uploads should:</w:t>
      </w:r>
    </w:p>
    <w:p>
      <w:pPr>
        <w:pStyle w:val="Compact"/>
        <w:numPr>
          <w:ilvl w:val="0"/>
          <w:numId w:val="1010"/>
        </w:numPr>
      </w:pPr>
      <w:r>
        <w:t xml:space="preserve">Validate MIME type</w:t>
      </w:r>
    </w:p>
    <w:p>
      <w:pPr>
        <w:pStyle w:val="Compact"/>
        <w:numPr>
          <w:ilvl w:val="0"/>
          <w:numId w:val="1010"/>
        </w:numPr>
      </w:pPr>
      <w:r>
        <w:t xml:space="preserve">Validate file size</w:t>
      </w:r>
    </w:p>
    <w:p>
      <w:pPr>
        <w:pStyle w:val="Compact"/>
        <w:numPr>
          <w:ilvl w:val="0"/>
          <w:numId w:val="1010"/>
        </w:numPr>
      </w:pPr>
      <w:r>
        <w:t xml:space="preserve">Scan for malware (where infrastructure supports it)</w:t>
      </w:r>
    </w:p>
    <w:p>
      <w:pPr>
        <w:pStyle w:val="Compact"/>
        <w:numPr>
          <w:ilvl w:val="0"/>
          <w:numId w:val="1010"/>
        </w:numPr>
      </w:pPr>
      <w:r>
        <w:t xml:space="preserve">Store metadata separately</w:t>
      </w:r>
    </w:p>
    <w:p>
      <w:pPr>
        <w:pStyle w:val="Compact"/>
        <w:numPr>
          <w:ilvl w:val="0"/>
          <w:numId w:val="1010"/>
        </w:numPr>
      </w:pPr>
      <w:r>
        <w:t xml:space="preserve">Return resource identifiers</w:t>
      </w:r>
    </w:p>
    <w:p>
      <w:pPr>
        <w:pStyle w:val="FirstParagraph"/>
      </w:pPr>
      <w:r>
        <w:t xml:space="preserve">Do not process large files synchronously if avoidable.</w:t>
      </w:r>
    </w:p>
    <w:p>
      <w:r>
        <w:pict>
          <v:rect style="width:0;height:1.5pt" o:hralign="center" o:hrstd="t" o:hr="t"/>
        </w:pict>
      </w:r>
    </w:p>
    <w:bookmarkEnd w:id="42"/>
    <w:bookmarkStart w:id="43" w:name="long-running-operations"/>
    <w:p>
      <w:pPr>
        <w:pStyle w:val="Heading1"/>
      </w:pPr>
      <w:r>
        <w:t xml:space="preserve">21. Long Running Operations</w:t>
      </w:r>
    </w:p>
    <w:p>
      <w:pPr>
        <w:pStyle w:val="FirstParagraph"/>
      </w:pPr>
      <w:r>
        <w:t xml:space="preserve">Operations such as AI analysis or report generation should be asynchronous.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Provide a status endpoint for polling or support webhooks if appropriate.</w:t>
      </w:r>
    </w:p>
    <w:p>
      <w:r>
        <w:pict>
          <v:rect style="width:0;height:1.5pt" o:hralign="center" o:hrstd="t" o:hr="t"/>
        </w:pict>
      </w:r>
    </w:p>
    <w:bookmarkEnd w:id="43"/>
    <w:bookmarkStart w:id="44" w:name="api-documentation"/>
    <w:p>
      <w:pPr>
        <w:pStyle w:val="Heading1"/>
      </w:pPr>
      <w:r>
        <w:t xml:space="preserve">22. API Documentation</w:t>
      </w:r>
    </w:p>
    <w:p>
      <w:pPr>
        <w:pStyle w:val="FirstParagraph"/>
      </w:pPr>
      <w:r>
        <w:t xml:space="preserve">Every endpoint must include:</w:t>
      </w:r>
    </w:p>
    <w:p>
      <w:pPr>
        <w:pStyle w:val="Compact"/>
        <w:numPr>
          <w:ilvl w:val="0"/>
          <w:numId w:val="1011"/>
        </w:numPr>
      </w:pPr>
      <w:r>
        <w:t xml:space="preserve">Summary</w:t>
      </w:r>
    </w:p>
    <w:p>
      <w:pPr>
        <w:pStyle w:val="Compact"/>
        <w:numPr>
          <w:ilvl w:val="0"/>
          <w:numId w:val="1011"/>
        </w:numPr>
      </w:pPr>
      <w:r>
        <w:t xml:space="preserve">Description</w:t>
      </w:r>
    </w:p>
    <w:p>
      <w:pPr>
        <w:pStyle w:val="Compact"/>
        <w:numPr>
          <w:ilvl w:val="0"/>
          <w:numId w:val="1011"/>
        </w:numPr>
      </w:pPr>
      <w:r>
        <w:t xml:space="preserve">Parameters</w:t>
      </w:r>
    </w:p>
    <w:p>
      <w:pPr>
        <w:pStyle w:val="Compact"/>
        <w:numPr>
          <w:ilvl w:val="0"/>
          <w:numId w:val="1011"/>
        </w:numPr>
      </w:pPr>
      <w:r>
        <w:t xml:space="preserve">Request schema</w:t>
      </w:r>
    </w:p>
    <w:p>
      <w:pPr>
        <w:pStyle w:val="Compact"/>
        <w:numPr>
          <w:ilvl w:val="0"/>
          <w:numId w:val="1011"/>
        </w:numPr>
      </w:pPr>
      <w:r>
        <w:t xml:space="preserve">Response schema</w:t>
      </w:r>
    </w:p>
    <w:p>
      <w:pPr>
        <w:pStyle w:val="Compact"/>
        <w:numPr>
          <w:ilvl w:val="0"/>
          <w:numId w:val="1011"/>
        </w:numPr>
      </w:pPr>
      <w:r>
        <w:t xml:space="preserve">Error responses</w:t>
      </w:r>
    </w:p>
    <w:p>
      <w:pPr>
        <w:pStyle w:val="Compact"/>
        <w:numPr>
          <w:ilvl w:val="0"/>
          <w:numId w:val="1011"/>
        </w:numPr>
      </w:pPr>
      <w:r>
        <w:t xml:space="preserve">Authentication requirements</w:t>
      </w:r>
    </w:p>
    <w:p>
      <w:pPr>
        <w:pStyle w:val="Compact"/>
        <w:numPr>
          <w:ilvl w:val="0"/>
          <w:numId w:val="1011"/>
        </w:numPr>
      </w:pPr>
      <w:r>
        <w:t xml:space="preserve">Example requests</w:t>
      </w:r>
    </w:p>
    <w:p>
      <w:pPr>
        <w:pStyle w:val="Compact"/>
        <w:numPr>
          <w:ilvl w:val="0"/>
          <w:numId w:val="1011"/>
        </w:numPr>
      </w:pPr>
      <w:r>
        <w:t xml:space="preserve">Example responses</w:t>
      </w:r>
    </w:p>
    <w:p>
      <w:pPr>
        <w:pStyle w:val="FirstParagraph"/>
      </w:pPr>
      <w:r>
        <w:t xml:space="preserve">OpenAPI documentation must remain synchronized with implementation.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guidelines"/>
    <w:p>
      <w:pPr>
        <w:pStyle w:val="Heading1"/>
      </w:pPr>
      <w:r>
        <w:t xml:space="preserve">23. Performance Guidelines</w:t>
      </w:r>
    </w:p>
    <w:p>
      <w:pPr>
        <w:pStyle w:val="FirstParagraph"/>
      </w:pPr>
      <w:r>
        <w:t xml:space="preserve">Representative goals:</w:t>
      </w:r>
    </w:p>
    <w:p>
      <w:pPr>
        <w:pStyle w:val="Compact"/>
        <w:numPr>
          <w:ilvl w:val="0"/>
          <w:numId w:val="1012"/>
        </w:numPr>
      </w:pPr>
      <w:r>
        <w:t xml:space="preserve">Efficient pagination</w:t>
      </w:r>
    </w:p>
    <w:p>
      <w:pPr>
        <w:pStyle w:val="Compact"/>
        <w:numPr>
          <w:ilvl w:val="0"/>
          <w:numId w:val="1012"/>
        </w:numPr>
      </w:pPr>
      <w:r>
        <w:t xml:space="preserve">Minimize payload size</w:t>
      </w:r>
    </w:p>
    <w:p>
      <w:pPr>
        <w:pStyle w:val="Compact"/>
        <w:numPr>
          <w:ilvl w:val="0"/>
          <w:numId w:val="1012"/>
        </w:numPr>
      </w:pPr>
      <w:r>
        <w:t xml:space="preserve">Avoid N+1 database queries</w:t>
      </w:r>
    </w:p>
    <w:p>
      <w:pPr>
        <w:pStyle w:val="Compact"/>
        <w:numPr>
          <w:ilvl w:val="0"/>
          <w:numId w:val="1012"/>
        </w:numPr>
      </w:pPr>
      <w:r>
        <w:t xml:space="preserve">Compress large responses</w:t>
      </w:r>
    </w:p>
    <w:p>
      <w:pPr>
        <w:pStyle w:val="Compact"/>
        <w:numPr>
          <w:ilvl w:val="0"/>
          <w:numId w:val="1012"/>
        </w:numPr>
      </w:pPr>
      <w:r>
        <w:t xml:space="preserve">Cache read-heavy endpoints where appropriate</w:t>
      </w:r>
    </w:p>
    <w:p>
      <w:pPr>
        <w:pStyle w:val="FirstParagraph"/>
      </w:pPr>
      <w:r>
        <w:t xml:space="preserve">Performance objectives should be defined through service-level objectives (SLOs).</w:t>
      </w:r>
    </w:p>
    <w:p>
      <w:r>
        <w:pict>
          <v:rect style="width:0;height:1.5pt" o:hralign="center" o:hrstd="t" o:hr="t"/>
        </w:pict>
      </w:r>
    </w:p>
    <w:bookmarkEnd w:id="45"/>
    <w:bookmarkStart w:id="46" w:name="security-guidelines"/>
    <w:p>
      <w:pPr>
        <w:pStyle w:val="Heading1"/>
      </w:pPr>
      <w:r>
        <w:t xml:space="preserve">24. Security Guidelines</w:t>
      </w:r>
    </w:p>
    <w:p>
      <w:pPr>
        <w:pStyle w:val="FirstParagraph"/>
      </w:pPr>
      <w:r>
        <w:t xml:space="preserve">Every endpoint must:</w:t>
      </w:r>
    </w:p>
    <w:p>
      <w:pPr>
        <w:pStyle w:val="Compact"/>
        <w:numPr>
          <w:ilvl w:val="0"/>
          <w:numId w:val="1013"/>
        </w:numPr>
      </w:pPr>
      <w:r>
        <w:t xml:space="preserve">Authenticate</w:t>
      </w:r>
    </w:p>
    <w:p>
      <w:pPr>
        <w:pStyle w:val="Compact"/>
        <w:numPr>
          <w:ilvl w:val="0"/>
          <w:numId w:val="1013"/>
        </w:numPr>
      </w:pPr>
      <w:r>
        <w:t xml:space="preserve">Authorize</w:t>
      </w:r>
    </w:p>
    <w:p>
      <w:pPr>
        <w:pStyle w:val="Compact"/>
        <w:numPr>
          <w:ilvl w:val="0"/>
          <w:numId w:val="1013"/>
        </w:numPr>
      </w:pPr>
      <w:r>
        <w:t xml:space="preserve">Validate inputs</w:t>
      </w:r>
    </w:p>
    <w:p>
      <w:pPr>
        <w:pStyle w:val="Compact"/>
        <w:numPr>
          <w:ilvl w:val="0"/>
          <w:numId w:val="1013"/>
        </w:numPr>
      </w:pPr>
      <w:r>
        <w:t xml:space="preserve">Sanitize outputs where required</w:t>
      </w:r>
    </w:p>
    <w:p>
      <w:pPr>
        <w:pStyle w:val="Compact"/>
        <w:numPr>
          <w:ilvl w:val="0"/>
          <w:numId w:val="1013"/>
        </w:numPr>
      </w:pPr>
      <w:r>
        <w:t xml:space="preserve">Log security-relevant events</w:t>
      </w:r>
    </w:p>
    <w:p>
      <w:pPr>
        <w:pStyle w:val="Compact"/>
        <w:numPr>
          <w:ilvl w:val="0"/>
          <w:numId w:val="1013"/>
        </w:numPr>
      </w:pPr>
      <w:r>
        <w:t xml:space="preserve">Protect against common web vulnerabilities</w:t>
      </w:r>
    </w:p>
    <w:p>
      <w:pPr>
        <w:pStyle w:val="FirstParagraph"/>
      </w:pPr>
      <w:r>
        <w:t xml:space="preserve">Never expose internal exception details to clients.</w:t>
      </w:r>
    </w:p>
    <w:p>
      <w:r>
        <w:pict>
          <v:rect style="width:0;height:1.5pt" o:hralign="center" o:hrstd="t" o:hr="t"/>
        </w:pict>
      </w:r>
    </w:p>
    <w:bookmarkEnd w:id="46"/>
    <w:bookmarkStart w:id="47" w:name="observability"/>
    <w:p>
      <w:pPr>
        <w:pStyle w:val="Heading1"/>
      </w:pPr>
      <w:r>
        <w:t xml:space="preserve">25. Observability</w:t>
      </w:r>
    </w:p>
    <w:p>
      <w:pPr>
        <w:pStyle w:val="FirstParagraph"/>
      </w:pPr>
      <w:r>
        <w:t xml:space="preserve">Each request should include:</w:t>
      </w:r>
    </w:p>
    <w:p>
      <w:pPr>
        <w:pStyle w:val="Compact"/>
        <w:numPr>
          <w:ilvl w:val="0"/>
          <w:numId w:val="1014"/>
        </w:numPr>
      </w:pPr>
      <w:r>
        <w:t xml:space="preserve">Request ID</w:t>
      </w:r>
    </w:p>
    <w:p>
      <w:pPr>
        <w:pStyle w:val="Compact"/>
        <w:numPr>
          <w:ilvl w:val="0"/>
          <w:numId w:val="1014"/>
        </w:numPr>
      </w:pPr>
      <w:r>
        <w:t xml:space="preserve">Correlation ID</w:t>
      </w:r>
    </w:p>
    <w:p>
      <w:pPr>
        <w:pStyle w:val="Compact"/>
        <w:numPr>
          <w:ilvl w:val="0"/>
          <w:numId w:val="1014"/>
        </w:numPr>
      </w:pPr>
      <w:r>
        <w:t xml:space="preserve">Timestamp</w:t>
      </w:r>
    </w:p>
    <w:p>
      <w:pPr>
        <w:pStyle w:val="Compact"/>
        <w:numPr>
          <w:ilvl w:val="0"/>
          <w:numId w:val="1014"/>
        </w:numPr>
      </w:pPr>
      <w:r>
        <w:t xml:space="preserve">User identifier (when authenticated)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15"/>
        </w:numPr>
      </w:pPr>
      <w:r>
        <w:t xml:space="preserve">Request duration</w:t>
      </w:r>
    </w:p>
    <w:p>
      <w:pPr>
        <w:pStyle w:val="Compact"/>
        <w:numPr>
          <w:ilvl w:val="0"/>
          <w:numId w:val="1015"/>
        </w:numPr>
      </w:pPr>
      <w:r>
        <w:t xml:space="preserve">Response status</w:t>
      </w:r>
    </w:p>
    <w:p>
      <w:pPr>
        <w:pStyle w:val="Compact"/>
        <w:numPr>
          <w:ilvl w:val="0"/>
          <w:numId w:val="1015"/>
        </w:numPr>
      </w:pPr>
      <w:r>
        <w:t xml:space="preserve">Significant failures</w:t>
      </w:r>
    </w:p>
    <w:p>
      <w:pPr>
        <w:pStyle w:val="FirstParagraph"/>
      </w:pPr>
      <w:r>
        <w:t xml:space="preserve">Metrics should support operational monitoring.</w:t>
      </w:r>
    </w:p>
    <w:p>
      <w:r>
        <w:pict>
          <v:rect style="width:0;height:1.5pt" o:hralign="center" o:hrstd="t" o:hr="t"/>
        </w:pict>
      </w:r>
    </w:p>
    <w:bookmarkEnd w:id="47"/>
    <w:bookmarkStart w:id="48" w:name="deprecation-policy"/>
    <w:p>
      <w:pPr>
        <w:pStyle w:val="Heading1"/>
      </w:pPr>
      <w:r>
        <w:t xml:space="preserve">26. Deprecation Policy</w:t>
      </w:r>
    </w:p>
    <w:p>
      <w:pPr>
        <w:pStyle w:val="FirstParagraph"/>
      </w:pPr>
      <w:r>
        <w:t xml:space="preserve">Deprecated endpoints should:</w:t>
      </w:r>
    </w:p>
    <w:p>
      <w:pPr>
        <w:pStyle w:val="Compact"/>
        <w:numPr>
          <w:ilvl w:val="0"/>
          <w:numId w:val="1016"/>
        </w:numPr>
      </w:pPr>
      <w:r>
        <w:t xml:space="preserve">Be documented</w:t>
      </w:r>
    </w:p>
    <w:p>
      <w:pPr>
        <w:pStyle w:val="Compact"/>
        <w:numPr>
          <w:ilvl w:val="0"/>
          <w:numId w:val="1016"/>
        </w:numPr>
      </w:pPr>
      <w:r>
        <w:t xml:space="preserve">Emit deprecation warnings where appropriate</w:t>
      </w:r>
    </w:p>
    <w:p>
      <w:pPr>
        <w:pStyle w:val="Compact"/>
        <w:numPr>
          <w:ilvl w:val="0"/>
          <w:numId w:val="1016"/>
        </w:numPr>
      </w:pPr>
      <w:r>
        <w:t xml:space="preserve">Provide migration guidance</w:t>
      </w:r>
    </w:p>
    <w:p>
      <w:pPr>
        <w:pStyle w:val="Compact"/>
        <w:numPr>
          <w:ilvl w:val="0"/>
          <w:numId w:val="1016"/>
        </w:numPr>
      </w:pPr>
      <w:r>
        <w:t xml:space="preserve">Remain available during the published transition period</w:t>
      </w:r>
    </w:p>
    <w:p>
      <w:pPr>
        <w:pStyle w:val="FirstParagraph"/>
      </w:pPr>
      <w:r>
        <w:t xml:space="preserve">Breaking removals require a new major API version.</w:t>
      </w:r>
    </w:p>
    <w:p>
      <w:r>
        <w:pict>
          <v:rect style="width:0;height:1.5pt" o:hralign="center" o:hrstd="t" o:hr="t"/>
        </w:pict>
      </w:r>
    </w:p>
    <w:bookmarkEnd w:id="48"/>
    <w:bookmarkStart w:id="49" w:name="version-migration"/>
    <w:p>
      <w:pPr>
        <w:pStyle w:val="Heading1"/>
      </w:pPr>
      <w:r>
        <w:t xml:space="preserve">27. Version Migration</w:t>
      </w:r>
    </w:p>
    <w:p>
      <w:pPr>
        <w:pStyle w:val="FirstParagraph"/>
      </w:pPr>
      <w:r>
        <w:t xml:space="preserve">Migration guides should include:</w:t>
      </w:r>
    </w:p>
    <w:p>
      <w:pPr>
        <w:pStyle w:val="Compact"/>
        <w:numPr>
          <w:ilvl w:val="0"/>
          <w:numId w:val="1017"/>
        </w:numPr>
      </w:pPr>
      <w:r>
        <w:t xml:space="preserve">Breaking changes</w:t>
      </w:r>
    </w:p>
    <w:p>
      <w:pPr>
        <w:pStyle w:val="Compact"/>
        <w:numPr>
          <w:ilvl w:val="0"/>
          <w:numId w:val="1017"/>
        </w:numPr>
      </w:pPr>
      <w:r>
        <w:t xml:space="preserve">New features</w:t>
      </w:r>
    </w:p>
    <w:p>
      <w:pPr>
        <w:pStyle w:val="Compact"/>
        <w:numPr>
          <w:ilvl w:val="0"/>
          <w:numId w:val="1017"/>
        </w:numPr>
      </w:pPr>
      <w:r>
        <w:t xml:space="preserve">Deprecated fields</w:t>
      </w:r>
    </w:p>
    <w:p>
      <w:pPr>
        <w:pStyle w:val="Compact"/>
        <w:numPr>
          <w:ilvl w:val="0"/>
          <w:numId w:val="1017"/>
        </w:numPr>
      </w:pPr>
      <w:r>
        <w:t xml:space="preserve">Replacement endpoints</w:t>
      </w:r>
    </w:p>
    <w:p>
      <w:pPr>
        <w:pStyle w:val="Compact"/>
        <w:numPr>
          <w:ilvl w:val="0"/>
          <w:numId w:val="1017"/>
        </w:numPr>
      </w:pPr>
      <w:r>
        <w:t xml:space="preserve">Upgrade examples</w:t>
      </w:r>
    </w:p>
    <w:p>
      <w:pPr>
        <w:pStyle w:val="FirstParagraph"/>
      </w:pPr>
      <w:r>
        <w:t xml:space="preserve">Clients should have sufficient time to migrate.</w:t>
      </w:r>
    </w:p>
    <w:p>
      <w:r>
        <w:pict>
          <v:rect style="width:0;height:1.5pt" o:hralign="center" o:hrstd="t" o:hr="t"/>
        </w:pict>
      </w:r>
    </w:p>
    <w:bookmarkEnd w:id="49"/>
    <w:bookmarkStart w:id="50" w:name="api-review-checklist"/>
    <w:p>
      <w:pPr>
        <w:pStyle w:val="Heading1"/>
      </w:pPr>
      <w:r>
        <w:t xml:space="preserve">28. API Review Checklist</w:t>
      </w:r>
    </w:p>
    <w:p>
      <w:pPr>
        <w:pStyle w:val="FirstParagraph"/>
      </w:pPr>
      <w:r>
        <w:t xml:space="preserve">Before approval, verify:</w:t>
      </w:r>
    </w:p>
    <w:p>
      <w:pPr>
        <w:pStyle w:val="Compact"/>
        <w:numPr>
          <w:ilvl w:val="0"/>
          <w:numId w:val="1018"/>
        </w:numPr>
      </w:pPr>
      <w:r>
        <w:t xml:space="preserve">Resource names are consistent.</w:t>
      </w:r>
    </w:p>
    <w:p>
      <w:pPr>
        <w:pStyle w:val="Compact"/>
        <w:numPr>
          <w:ilvl w:val="0"/>
          <w:numId w:val="1018"/>
        </w:numPr>
      </w:pPr>
      <w:r>
        <w:t xml:space="preserve">HTTP methods are appropriate.</w:t>
      </w:r>
    </w:p>
    <w:p>
      <w:pPr>
        <w:pStyle w:val="Compact"/>
        <w:numPr>
          <w:ilvl w:val="0"/>
          <w:numId w:val="1018"/>
        </w:numPr>
      </w:pPr>
      <w:r>
        <w:t xml:space="preserve">Status codes are correct.</w:t>
      </w:r>
    </w:p>
    <w:p>
      <w:pPr>
        <w:pStyle w:val="Compact"/>
        <w:numPr>
          <w:ilvl w:val="0"/>
          <w:numId w:val="1018"/>
        </w:numPr>
      </w:pPr>
      <w:r>
        <w:t xml:space="preserve">Validation is complete.</w:t>
      </w:r>
    </w:p>
    <w:p>
      <w:pPr>
        <w:pStyle w:val="Compact"/>
        <w:numPr>
          <w:ilvl w:val="0"/>
          <w:numId w:val="1018"/>
        </w:numPr>
      </w:pPr>
      <w:r>
        <w:t xml:space="preserve">Authentication is enforced.</w:t>
      </w:r>
    </w:p>
    <w:p>
      <w:pPr>
        <w:pStyle w:val="Compact"/>
        <w:numPr>
          <w:ilvl w:val="0"/>
          <w:numId w:val="1018"/>
        </w:numPr>
      </w:pPr>
      <w:r>
        <w:t xml:space="preserve">Authorization is verified.</w:t>
      </w:r>
    </w:p>
    <w:p>
      <w:pPr>
        <w:pStyle w:val="Compact"/>
        <w:numPr>
          <w:ilvl w:val="0"/>
          <w:numId w:val="1018"/>
        </w:numPr>
      </w:pPr>
      <w:r>
        <w:t xml:space="preserve">Pagination is implemented where required.</w:t>
      </w:r>
    </w:p>
    <w:p>
      <w:pPr>
        <w:pStyle w:val="Compact"/>
        <w:numPr>
          <w:ilvl w:val="0"/>
          <w:numId w:val="1018"/>
        </w:numPr>
      </w:pPr>
      <w:r>
        <w:t xml:space="preserve">Error responses follow the standard schema.</w:t>
      </w:r>
    </w:p>
    <w:p>
      <w:pPr>
        <w:pStyle w:val="Compact"/>
        <w:numPr>
          <w:ilvl w:val="0"/>
          <w:numId w:val="1018"/>
        </w:numPr>
      </w:pPr>
      <w:r>
        <w:t xml:space="preserve">OpenAPI documentation is updated.</w:t>
      </w:r>
    </w:p>
    <w:p>
      <w:pPr>
        <w:pStyle w:val="Compact"/>
        <w:numPr>
          <w:ilvl w:val="0"/>
          <w:numId w:val="1018"/>
        </w:numPr>
      </w:pPr>
      <w:r>
        <w:t xml:space="preserve">Tests cover success and failure scenarios.</w:t>
      </w:r>
    </w:p>
    <w:p>
      <w:r>
        <w:pict>
          <v:rect style="width:0;height:1.5pt" o:hralign="center" o:hrstd="t" o:hr="t"/>
        </w:pict>
      </w:r>
    </w:p>
    <w:bookmarkEnd w:id="50"/>
    <w:bookmarkStart w:id="51" w:name="common-anti-patterns"/>
    <w:p>
      <w:pPr>
        <w:pStyle w:val="Heading1"/>
      </w:pPr>
      <w:r>
        <w:t xml:space="preserve">29.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9"/>
        </w:numPr>
      </w:pPr>
      <w:r>
        <w:t xml:space="preserve">Verbs in URLs</w:t>
      </w:r>
    </w:p>
    <w:p>
      <w:pPr>
        <w:pStyle w:val="Compact"/>
        <w:numPr>
          <w:ilvl w:val="0"/>
          <w:numId w:val="1019"/>
        </w:numPr>
      </w:pPr>
      <w:r>
        <w:t xml:space="preserve">Inconsistent JSON structures</w:t>
      </w:r>
    </w:p>
    <w:p>
      <w:pPr>
        <w:pStyle w:val="Compact"/>
        <w:numPr>
          <w:ilvl w:val="0"/>
          <w:numId w:val="1019"/>
        </w:numPr>
      </w:pPr>
      <w:r>
        <w:t xml:space="preserve">Returning 200 for error conditions</w:t>
      </w:r>
    </w:p>
    <w:p>
      <w:pPr>
        <w:pStyle w:val="Compact"/>
        <w:numPr>
          <w:ilvl w:val="0"/>
          <w:numId w:val="1019"/>
        </w:numPr>
      </w:pPr>
      <w:r>
        <w:t xml:space="preserve">Exposing database identifiers unnecessarily</w:t>
      </w:r>
    </w:p>
    <w:p>
      <w:pPr>
        <w:pStyle w:val="Compact"/>
        <w:numPr>
          <w:ilvl w:val="0"/>
          <w:numId w:val="1019"/>
        </w:numPr>
      </w:pPr>
      <w:r>
        <w:t xml:space="preserve">Mixing business logic into controllers</w:t>
      </w:r>
    </w:p>
    <w:p>
      <w:pPr>
        <w:pStyle w:val="Compact"/>
        <w:numPr>
          <w:ilvl w:val="0"/>
          <w:numId w:val="1019"/>
        </w:numPr>
      </w:pPr>
      <w:r>
        <w:t xml:space="preserve">Unbounded collection responses</w:t>
      </w:r>
    </w:p>
    <w:p>
      <w:pPr>
        <w:pStyle w:val="Compact"/>
        <w:numPr>
          <w:ilvl w:val="0"/>
          <w:numId w:val="1019"/>
        </w:numPr>
      </w:pPr>
      <w:r>
        <w:t xml:space="preserve">Breaking API contracts without versioning</w:t>
      </w:r>
    </w:p>
    <w:p>
      <w:pPr>
        <w:pStyle w:val="Compact"/>
        <w:numPr>
          <w:ilvl w:val="0"/>
          <w:numId w:val="1019"/>
        </w:numPr>
      </w:pPr>
      <w:r>
        <w:t xml:space="preserve">Returning stack traces to clients</w:t>
      </w:r>
    </w:p>
    <w:p>
      <w:pPr>
        <w:pStyle w:val="Compact"/>
        <w:numPr>
          <w:ilvl w:val="0"/>
          <w:numId w:val="1019"/>
        </w:numPr>
      </w:pPr>
      <w:r>
        <w:t xml:space="preserve">Ignoring idempotency for create operations with external effects</w:t>
      </w:r>
    </w:p>
    <w:p>
      <w:r>
        <w:pict>
          <v:rect style="width:0;height:1.5pt" o:hralign="center" o:hrstd="t" o:hr="t"/>
        </w:pict>
      </w:r>
    </w:p>
    <w:bookmarkEnd w:id="51"/>
    <w:bookmarkStart w:id="52" w:name="definition-of-done"/>
    <w:p>
      <w:pPr>
        <w:pStyle w:val="Heading1"/>
      </w:pPr>
      <w:r>
        <w:t xml:space="preserve">30. Definition of Done</w:t>
      </w:r>
    </w:p>
    <w:p>
      <w:pPr>
        <w:pStyle w:val="FirstParagraph"/>
      </w:pPr>
      <w:r>
        <w:t xml:space="preserve">An API endpoint is complete only when:</w:t>
      </w:r>
    </w:p>
    <w:p>
      <w:pPr>
        <w:pStyle w:val="Compact"/>
        <w:numPr>
          <w:ilvl w:val="0"/>
          <w:numId w:val="1020"/>
        </w:numPr>
      </w:pPr>
      <w:r>
        <w:t xml:space="preserve">Request validation is implemented.</w:t>
      </w:r>
    </w:p>
    <w:p>
      <w:pPr>
        <w:pStyle w:val="Compact"/>
        <w:numPr>
          <w:ilvl w:val="0"/>
          <w:numId w:val="1020"/>
        </w:numPr>
      </w:pPr>
      <w:r>
        <w:t xml:space="preserve">Business logic is delegated appropriately.</w:t>
      </w:r>
    </w:p>
    <w:p>
      <w:pPr>
        <w:pStyle w:val="Compact"/>
        <w:numPr>
          <w:ilvl w:val="0"/>
          <w:numId w:val="1020"/>
        </w:numPr>
      </w:pPr>
      <w:r>
        <w:t xml:space="preserve">Authentication and authorization are enforced.</w:t>
      </w:r>
    </w:p>
    <w:p>
      <w:pPr>
        <w:pStyle w:val="Compact"/>
        <w:numPr>
          <w:ilvl w:val="0"/>
          <w:numId w:val="1020"/>
        </w:numPr>
      </w:pPr>
      <w:r>
        <w:t xml:space="preserve">Success and error responses follow the standard schema.</w:t>
      </w:r>
    </w:p>
    <w:p>
      <w:pPr>
        <w:pStyle w:val="Compact"/>
        <w:numPr>
          <w:ilvl w:val="0"/>
          <w:numId w:val="1020"/>
        </w:numPr>
      </w:pPr>
      <w:r>
        <w:t xml:space="preserve">OpenAPI documentation is complete.</w:t>
      </w:r>
    </w:p>
    <w:p>
      <w:pPr>
        <w:pStyle w:val="Compact"/>
        <w:numPr>
          <w:ilvl w:val="0"/>
          <w:numId w:val="1020"/>
        </w:numPr>
      </w:pPr>
      <w:r>
        <w:t xml:space="preserve">Unit and integration tests pass.</w:t>
      </w:r>
    </w:p>
    <w:p>
      <w:pPr>
        <w:pStyle w:val="Compact"/>
        <w:numPr>
          <w:ilvl w:val="0"/>
          <w:numId w:val="1020"/>
        </w:numPr>
      </w:pPr>
      <w:r>
        <w:t xml:space="preserve">Performance considerations have been reviewed.</w:t>
      </w:r>
    </w:p>
    <w:p>
      <w:pPr>
        <w:pStyle w:val="Compact"/>
        <w:numPr>
          <w:ilvl w:val="0"/>
          <w:numId w:val="1020"/>
        </w:numPr>
      </w:pPr>
      <w:r>
        <w:t xml:space="preserve">Logging and metrics are implemented.</w:t>
      </w:r>
    </w:p>
    <w:p>
      <w:pPr>
        <w:pStyle w:val="Compact"/>
        <w:numPr>
          <w:ilvl w:val="0"/>
          <w:numId w:val="1020"/>
        </w:numPr>
      </w:pPr>
      <w:r>
        <w:t xml:space="preserve">Security review is complete.</w:t>
      </w:r>
    </w:p>
    <w:p>
      <w:r>
        <w:pict>
          <v:rect style="width:0;height:1.5pt" o:hralign="center" o:hrstd="t" o:hr="t"/>
        </w:pict>
      </w:r>
    </w:p>
    <w:bookmarkEnd w:id="52"/>
    <w:bookmarkStart w:id="53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API layer is the public contract of Investment OS.</w:t>
      </w:r>
    </w:p>
    <w:p>
      <w:pPr>
        <w:pStyle w:val="BodyText"/>
      </w:pPr>
      <w:r>
        <w:t xml:space="preserve">Consistency, backward compatibility, and clear contracts are more valuable than short-term implementation convenience.</w:t>
      </w:r>
    </w:p>
    <w:p>
      <w:pPr>
        <w:pStyle w:val="BodyText"/>
      </w:pPr>
      <w:r>
        <w:t xml:space="preserve">Every API should be designed as if external developers will depend on it for years.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2026-07-20T02:16:53Z</dcterms:created>
  <dcterms:modified xsi:type="dcterms:W3CDTF">2026-07-20T02:16:53Z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