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05-database-standards"/>
    <w:p>
      <w:pPr>
        <w:pStyle w:val="Heading1"/>
      </w:pPr>
      <w:r>
        <w:t xml:space="preserve">Chapter 05 – Database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Database Philosophy</w:t>
      </w:r>
    </w:p>
    <w:p>
      <w:pPr>
        <w:pStyle w:val="Compact"/>
        <w:numPr>
          <w:ilvl w:val="0"/>
          <w:numId w:val="1001"/>
        </w:numPr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Database Architecture</w:t>
      </w:r>
    </w:p>
    <w:p>
      <w:pPr>
        <w:pStyle w:val="Compact"/>
        <w:numPr>
          <w:ilvl w:val="0"/>
          <w:numId w:val="1001"/>
        </w:numPr>
      </w:pPr>
      <w:r>
        <w:t xml:space="preserve">Schema Design Principles</w:t>
      </w:r>
    </w:p>
    <w:p>
      <w:pPr>
        <w:pStyle w:val="Compact"/>
        <w:numPr>
          <w:ilvl w:val="0"/>
          <w:numId w:val="1001"/>
        </w:numPr>
      </w:pPr>
      <w:r>
        <w:t xml:space="preserve">Naming Conventions</w:t>
      </w:r>
    </w:p>
    <w:p>
      <w:pPr>
        <w:pStyle w:val="Compact"/>
        <w:numPr>
          <w:ilvl w:val="0"/>
          <w:numId w:val="1001"/>
        </w:numPr>
      </w:pPr>
      <w:r>
        <w:t xml:space="preserve">Primary Keys</w:t>
      </w:r>
    </w:p>
    <w:p>
      <w:pPr>
        <w:pStyle w:val="Compact"/>
        <w:numPr>
          <w:ilvl w:val="0"/>
          <w:numId w:val="1001"/>
        </w:numPr>
      </w:pPr>
      <w:r>
        <w:t xml:space="preserve">Foreign Keys</w:t>
      </w:r>
    </w:p>
    <w:p>
      <w:pPr>
        <w:pStyle w:val="Compact"/>
        <w:numPr>
          <w:ilvl w:val="0"/>
          <w:numId w:val="1001"/>
        </w:numPr>
      </w:pPr>
      <w:r>
        <w:t xml:space="preserve">Data Types</w:t>
      </w:r>
    </w:p>
    <w:p>
      <w:pPr>
        <w:pStyle w:val="Compact"/>
        <w:numPr>
          <w:ilvl w:val="0"/>
          <w:numId w:val="1001"/>
        </w:numPr>
      </w:pPr>
      <w:r>
        <w:t xml:space="preserve">Constraints</w:t>
      </w:r>
    </w:p>
    <w:p>
      <w:pPr>
        <w:pStyle w:val="Compact"/>
        <w:numPr>
          <w:ilvl w:val="0"/>
          <w:numId w:val="1001"/>
        </w:numPr>
      </w:pPr>
      <w:r>
        <w:t xml:space="preserve">Indexing Standards</w:t>
      </w:r>
    </w:p>
    <w:p>
      <w:pPr>
        <w:pStyle w:val="Compact"/>
        <w:numPr>
          <w:ilvl w:val="0"/>
          <w:numId w:val="1001"/>
        </w:numPr>
      </w:pPr>
      <w:r>
        <w:t xml:space="preserve">Normalization</w:t>
      </w:r>
    </w:p>
    <w:p>
      <w:pPr>
        <w:pStyle w:val="Compact"/>
        <w:numPr>
          <w:ilvl w:val="0"/>
          <w:numId w:val="1001"/>
        </w:numPr>
      </w:pPr>
      <w:r>
        <w:t xml:space="preserve">Denormalization</w:t>
      </w:r>
    </w:p>
    <w:p>
      <w:pPr>
        <w:pStyle w:val="Compact"/>
        <w:numPr>
          <w:ilvl w:val="0"/>
          <w:numId w:val="1001"/>
        </w:numPr>
      </w:pPr>
      <w:r>
        <w:t xml:space="preserve">Transactions</w:t>
      </w:r>
    </w:p>
    <w:p>
      <w:pPr>
        <w:pStyle w:val="Compact"/>
        <w:numPr>
          <w:ilvl w:val="0"/>
          <w:numId w:val="1001"/>
        </w:numPr>
      </w:pPr>
      <w:r>
        <w:t xml:space="preserve">Repository Pattern</w:t>
      </w:r>
    </w:p>
    <w:p>
      <w:pPr>
        <w:pStyle w:val="Compact"/>
        <w:numPr>
          <w:ilvl w:val="0"/>
          <w:numId w:val="1001"/>
        </w:numPr>
      </w:pPr>
      <w:r>
        <w:t xml:space="preserve">SQLAlchemy Standards</w:t>
      </w:r>
    </w:p>
    <w:p>
      <w:pPr>
        <w:pStyle w:val="Compact"/>
        <w:numPr>
          <w:ilvl w:val="0"/>
          <w:numId w:val="1001"/>
        </w:numPr>
      </w:pPr>
      <w:r>
        <w:t xml:space="preserve">Alembic Migration Standards</w:t>
      </w:r>
    </w:p>
    <w:p>
      <w:pPr>
        <w:pStyle w:val="Compact"/>
        <w:numPr>
          <w:ilvl w:val="0"/>
          <w:numId w:val="1001"/>
        </w:numPr>
      </w:pPr>
      <w:r>
        <w:t xml:space="preserve">Soft Deletes</w:t>
      </w:r>
    </w:p>
    <w:p>
      <w:pPr>
        <w:pStyle w:val="Compact"/>
        <w:numPr>
          <w:ilvl w:val="0"/>
          <w:numId w:val="1001"/>
        </w:numPr>
      </w:pPr>
      <w:r>
        <w:t xml:space="preserve">Audit Fields</w:t>
      </w:r>
    </w:p>
    <w:p>
      <w:pPr>
        <w:pStyle w:val="Compact"/>
        <w:numPr>
          <w:ilvl w:val="0"/>
          <w:numId w:val="1001"/>
        </w:numPr>
      </w:pPr>
      <w:r>
        <w:t xml:space="preserve">Multi-Tenant Design</w:t>
      </w:r>
    </w:p>
    <w:p>
      <w:pPr>
        <w:pStyle w:val="Compact"/>
        <w:numPr>
          <w:ilvl w:val="0"/>
          <w:numId w:val="1001"/>
        </w:numPr>
      </w:pPr>
      <w:r>
        <w:t xml:space="preserve">Security Standards</w:t>
      </w:r>
    </w:p>
    <w:p>
      <w:pPr>
        <w:pStyle w:val="Compact"/>
        <w:numPr>
          <w:ilvl w:val="0"/>
          <w:numId w:val="1001"/>
        </w:numPr>
      </w:pPr>
      <w:r>
        <w:t xml:space="preserve">Encryption Standards</w:t>
      </w:r>
    </w:p>
    <w:p>
      <w:pPr>
        <w:pStyle w:val="Compact"/>
        <w:numPr>
          <w:ilvl w:val="0"/>
          <w:numId w:val="1001"/>
        </w:numPr>
      </w:pPr>
      <w:r>
        <w:t xml:space="preserve">Performance Standards</w:t>
      </w:r>
    </w:p>
    <w:p>
      <w:pPr>
        <w:pStyle w:val="Compact"/>
        <w:numPr>
          <w:ilvl w:val="0"/>
          <w:numId w:val="1001"/>
        </w:numPr>
      </w:pPr>
      <w:r>
        <w:t xml:space="preserve">Query Standards</w:t>
      </w:r>
    </w:p>
    <w:p>
      <w:pPr>
        <w:pStyle w:val="Compact"/>
        <w:numPr>
          <w:ilvl w:val="0"/>
          <w:numId w:val="1001"/>
        </w:numPr>
      </w:pPr>
      <w:r>
        <w:t xml:space="preserve">Views and Materialized Views</w:t>
      </w:r>
    </w:p>
    <w:p>
      <w:pPr>
        <w:pStyle w:val="Compact"/>
        <w:numPr>
          <w:ilvl w:val="0"/>
          <w:numId w:val="1001"/>
        </w:numPr>
      </w:pPr>
      <w:r>
        <w:t xml:space="preserve">Stored Procedures Policy</w:t>
      </w:r>
    </w:p>
    <w:p>
      <w:pPr>
        <w:pStyle w:val="Compact"/>
        <w:numPr>
          <w:ilvl w:val="0"/>
          <w:numId w:val="1001"/>
        </w:numPr>
      </w:pPr>
      <w:r>
        <w:t xml:space="preserve">Backup &amp; Recovery</w:t>
      </w:r>
    </w:p>
    <w:p>
      <w:pPr>
        <w:pStyle w:val="Compact"/>
        <w:numPr>
          <w:ilvl w:val="0"/>
          <w:numId w:val="1001"/>
        </w:numPr>
      </w:pPr>
      <w:r>
        <w:t xml:space="preserve">Data Retention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Review Checklist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database engineering standards for Investment OS.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Reliable data storage</w:t>
      </w:r>
    </w:p>
    <w:p>
      <w:pPr>
        <w:pStyle w:val="Compact"/>
        <w:numPr>
          <w:ilvl w:val="0"/>
          <w:numId w:val="1002"/>
        </w:numPr>
      </w:pPr>
      <w:r>
        <w:t xml:space="preserve">Long-term maintainability</w:t>
      </w:r>
    </w:p>
    <w:p>
      <w:pPr>
        <w:pStyle w:val="Compact"/>
        <w:numPr>
          <w:ilvl w:val="0"/>
          <w:numId w:val="1002"/>
        </w:numPr>
      </w:pPr>
      <w:r>
        <w:t xml:space="preserve">High performance</w:t>
      </w:r>
    </w:p>
    <w:p>
      <w:pPr>
        <w:pStyle w:val="Compact"/>
        <w:numPr>
          <w:ilvl w:val="0"/>
          <w:numId w:val="1002"/>
        </w:numPr>
      </w:pPr>
      <w:r>
        <w:t xml:space="preserve">Strong integrity</w:t>
      </w:r>
    </w:p>
    <w:p>
      <w:pPr>
        <w:pStyle w:val="Compact"/>
        <w:numPr>
          <w:ilvl w:val="0"/>
          <w:numId w:val="1002"/>
        </w:numPr>
      </w:pPr>
      <w:r>
        <w:t xml:space="preserve">Secure data handling</w:t>
      </w:r>
    </w:p>
    <w:p>
      <w:pPr>
        <w:pStyle w:val="Compact"/>
        <w:numPr>
          <w:ilvl w:val="0"/>
          <w:numId w:val="1002"/>
        </w:numPr>
      </w:pPr>
      <w:r>
        <w:t xml:space="preserve">Predictable schema evolution</w:t>
      </w:r>
    </w:p>
    <w:p>
      <w:pPr>
        <w:pStyle w:val="FirstParagraph"/>
      </w:pPr>
      <w:r>
        <w:t xml:space="preserve">The database is the source of truth for all business entities.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philosophy"/>
    <w:p>
      <w:pPr>
        <w:pStyle w:val="Heading1"/>
      </w:pPr>
      <w:r>
        <w:t xml:space="preserve">2. Database Philosophy</w:t>
      </w:r>
    </w:p>
    <w:p>
      <w:pPr>
        <w:pStyle w:val="FirstParagraph"/>
      </w:pPr>
      <w:r>
        <w:t xml:space="preserve">The database is a business asset—not just a persistence layer.</w:t>
      </w:r>
    </w:p>
    <w:p>
      <w:pPr>
        <w:pStyle w:val="BodyText"/>
      </w:pPr>
      <w:r>
        <w:t xml:space="preserve">Key principles:</w:t>
      </w:r>
    </w:p>
    <w:p>
      <w:pPr>
        <w:pStyle w:val="Compact"/>
        <w:numPr>
          <w:ilvl w:val="0"/>
          <w:numId w:val="1003"/>
        </w:numPr>
      </w:pPr>
      <w:r>
        <w:t xml:space="preserve">Integrity before convenience</w:t>
      </w:r>
    </w:p>
    <w:p>
      <w:pPr>
        <w:pStyle w:val="Compact"/>
        <w:numPr>
          <w:ilvl w:val="0"/>
          <w:numId w:val="1003"/>
        </w:numPr>
      </w:pPr>
      <w:r>
        <w:t xml:space="preserve">Explicit relationships</w:t>
      </w:r>
    </w:p>
    <w:p>
      <w:pPr>
        <w:pStyle w:val="Compact"/>
        <w:numPr>
          <w:ilvl w:val="0"/>
          <w:numId w:val="1003"/>
        </w:numPr>
      </w:pPr>
      <w:r>
        <w:t xml:space="preserve">Minimize duplication</w:t>
      </w:r>
    </w:p>
    <w:p>
      <w:pPr>
        <w:pStyle w:val="Compact"/>
        <w:numPr>
          <w:ilvl w:val="0"/>
          <w:numId w:val="1003"/>
        </w:numPr>
      </w:pPr>
      <w:r>
        <w:t xml:space="preserve">Schema evolution through migrations only</w:t>
      </w:r>
    </w:p>
    <w:p>
      <w:pPr>
        <w:pStyle w:val="Compact"/>
        <w:numPr>
          <w:ilvl w:val="0"/>
          <w:numId w:val="1003"/>
        </w:numPr>
      </w:pPr>
      <w:r>
        <w:t xml:space="preserve">Data consistency over premature optimization</w:t>
      </w:r>
    </w:p>
    <w:p>
      <w:pPr>
        <w:pStyle w:val="FirstParagraph"/>
      </w:pPr>
      <w:r>
        <w:t xml:space="preserve">Never treat the database as a simple key-value store.</w:t>
      </w:r>
    </w:p>
    <w:p>
      <w:r>
        <w:pict>
          <v:rect style="width:0;height:1.5pt" o:hralign="center" o:hrstd="t" o:hr="t"/>
        </w:pict>
      </w:r>
    </w:p>
    <w:bookmarkEnd w:id="24"/>
    <w:bookmarkStart w:id="25" w:name="technology-stack"/>
    <w:p>
      <w:pPr>
        <w:pStyle w:val="Heading1"/>
      </w:pPr>
      <w:r>
        <w:t xml:space="preserve">3. Technology Stack</w:t>
      </w:r>
    </w:p>
    <w:p>
      <w:pPr>
        <w:pStyle w:val="FirstParagraph"/>
      </w:pPr>
      <w:r>
        <w:t xml:space="preserve">Recommended stack: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Compact"/>
        <w:numPr>
          <w:ilvl w:val="0"/>
          <w:numId w:val="1004"/>
        </w:numPr>
      </w:pPr>
      <w:r>
        <w:t xml:space="preserve">SQLAlchemy ORM</w:t>
      </w:r>
    </w:p>
    <w:p>
      <w:pPr>
        <w:pStyle w:val="Compact"/>
        <w:numPr>
          <w:ilvl w:val="0"/>
          <w:numId w:val="1004"/>
        </w:numPr>
      </w:pPr>
      <w:r>
        <w:t xml:space="preserve">Alembic</w:t>
      </w:r>
    </w:p>
    <w:p>
      <w:pPr>
        <w:pStyle w:val="Compact"/>
        <w:numPr>
          <w:ilvl w:val="0"/>
          <w:numId w:val="1004"/>
        </w:numPr>
      </w:pPr>
      <w:r>
        <w:t xml:space="preserve">Async database driver (when using async APIs)</w:t>
      </w:r>
    </w:p>
    <w:p>
      <w:pPr>
        <w:pStyle w:val="Compact"/>
        <w:numPr>
          <w:ilvl w:val="0"/>
          <w:numId w:val="1004"/>
        </w:numPr>
      </w:pPr>
      <w:r>
        <w:t xml:space="preserve">Redis for caching only (never as the system of record)</w:t>
      </w:r>
    </w:p>
    <w:p>
      <w:r>
        <w:pict>
          <v:rect style="width:0;height:1.5pt" o:hralign="center" o:hrstd="t" o:hr="t"/>
        </w:pict>
      </w:r>
    </w:p>
    <w:bookmarkEnd w:id="25"/>
    <w:bookmarkStart w:id="26" w:name="database-architecture"/>
    <w:p>
      <w:pPr>
        <w:pStyle w:val="Heading1"/>
      </w:pPr>
      <w:r>
        <w:t xml:space="preserve">4. Database Architecture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SQLAlchemy ORM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Business logic never accesses SQL directly.</w:t>
      </w:r>
    </w:p>
    <w:p>
      <w:pPr>
        <w:pStyle w:val="BodyText"/>
      </w:pPr>
      <w:r>
        <w:t xml:space="preserve">Repositories own persistence.</w:t>
      </w:r>
    </w:p>
    <w:p>
      <w:r>
        <w:pict>
          <v:rect style="width:0;height:1.5pt" o:hralign="center" o:hrstd="t" o:hr="t"/>
        </w:pict>
      </w:r>
    </w:p>
    <w:bookmarkEnd w:id="26"/>
    <w:bookmarkStart w:id="27" w:name="schema-design-principles"/>
    <w:p>
      <w:pPr>
        <w:pStyle w:val="Heading1"/>
      </w:pPr>
      <w:r>
        <w:t xml:space="preserve">5. Schema Design Principles</w:t>
      </w:r>
    </w:p>
    <w:p>
      <w:pPr>
        <w:pStyle w:val="FirstParagraph"/>
      </w:pPr>
      <w:r>
        <w:t xml:space="preserve">Every table should represent a business concept.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users</w:t>
      </w:r>
    </w:p>
    <w:p>
      <w:pPr>
        <w:pStyle w:val="Compact"/>
        <w:numPr>
          <w:ilvl w:val="0"/>
          <w:numId w:val="1005"/>
        </w:numPr>
      </w:pPr>
      <w:r>
        <w:t xml:space="preserve">organizations</w:t>
      </w:r>
    </w:p>
    <w:p>
      <w:pPr>
        <w:pStyle w:val="Compact"/>
        <w:numPr>
          <w:ilvl w:val="0"/>
          <w:numId w:val="1005"/>
        </w:numPr>
      </w:pPr>
      <w:r>
        <w:t xml:space="preserve">founders</w:t>
      </w:r>
    </w:p>
    <w:p>
      <w:pPr>
        <w:pStyle w:val="Compact"/>
        <w:numPr>
          <w:ilvl w:val="0"/>
          <w:numId w:val="1005"/>
        </w:numPr>
      </w:pPr>
      <w:r>
        <w:t xml:space="preserve">startups</w:t>
      </w:r>
    </w:p>
    <w:p>
      <w:pPr>
        <w:pStyle w:val="Compact"/>
        <w:numPr>
          <w:ilvl w:val="0"/>
          <w:numId w:val="1005"/>
        </w:numPr>
      </w:pPr>
      <w:r>
        <w:t xml:space="preserve">investments</w:t>
      </w:r>
    </w:p>
    <w:p>
      <w:pPr>
        <w:pStyle w:val="Compact"/>
        <w:numPr>
          <w:ilvl w:val="0"/>
          <w:numId w:val="1005"/>
        </w:numPr>
      </w:pPr>
      <w:r>
        <w:t xml:space="preserve">portfolios</w:t>
      </w:r>
    </w:p>
    <w:p>
      <w:pPr>
        <w:pStyle w:val="Compact"/>
        <w:numPr>
          <w:ilvl w:val="0"/>
          <w:numId w:val="1005"/>
        </w:numPr>
      </w:pPr>
      <w:r>
        <w:t xml:space="preserve">documents</w:t>
      </w:r>
    </w:p>
    <w:p>
      <w:pPr>
        <w:pStyle w:val="Compact"/>
        <w:numPr>
          <w:ilvl w:val="0"/>
          <w:numId w:val="1005"/>
        </w:numPr>
      </w:pPr>
      <w:r>
        <w:t xml:space="preserve">ai_jobs</w:t>
      </w:r>
    </w:p>
    <w:p>
      <w:pPr>
        <w:pStyle w:val="Compact"/>
        <w:numPr>
          <w:ilvl w:val="0"/>
          <w:numId w:val="1005"/>
        </w:numPr>
      </w:pPr>
      <w:r>
        <w:t xml:space="preserve">audit_logs</w:t>
      </w:r>
    </w:p>
    <w:p>
      <w:pPr>
        <w:pStyle w:val="FirstParagraph"/>
      </w:pPr>
      <w:r>
        <w:t xml:space="preserve">Avoid generic tables such as: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master</w:t>
      </w:r>
      <w:r>
        <w:br/>
      </w:r>
      <w:r>
        <w:rPr>
          <w:rStyle w:val="VerbatimChar"/>
        </w:rPr>
        <w:t xml:space="preserve">common</w:t>
      </w:r>
      <w:r>
        <w:br/>
      </w:r>
      <w:r>
        <w:rPr>
          <w:rStyle w:val="VerbatimChar"/>
        </w:rPr>
        <w:t xml:space="preserve">misc</w:t>
      </w:r>
    </w:p>
    <w:p>
      <w:pPr>
        <w:pStyle w:val="FirstParagraph"/>
      </w:pPr>
      <w:r>
        <w:t xml:space="preserve">Names should communicate intent.</w:t>
      </w:r>
    </w:p>
    <w:p>
      <w:r>
        <w:pict>
          <v:rect style="width:0;height:1.5pt" o:hralign="center" o:hrstd="t" o:hr="t"/>
        </w:pict>
      </w:r>
    </w:p>
    <w:bookmarkEnd w:id="27"/>
    <w:bookmarkStart w:id="28" w:name="naming-conventions"/>
    <w:p>
      <w:pPr>
        <w:pStyle w:val="Heading1"/>
      </w:pPr>
      <w:r>
        <w:t xml:space="preserve">6. Naming Conventions</w:t>
      </w:r>
    </w:p>
    <w:p>
      <w:pPr>
        <w:pStyle w:val="FirstParagraph"/>
      </w:pPr>
      <w:r>
        <w:t xml:space="preserve">Tables:</w:t>
      </w:r>
    </w:p>
    <w:p>
      <w:pPr>
        <w:pStyle w:val="SourceCode"/>
      </w:pPr>
      <w:r>
        <w:rPr>
          <w:rStyle w:val="VerbatimChar"/>
        </w:rPr>
        <w:t xml:space="preserve">snake_case</w:t>
      </w:r>
      <w:r>
        <w:br/>
      </w:r>
      <w:r>
        <w:rPr>
          <w:rStyle w:val="VerbatimChar"/>
        </w:rPr>
        <w:t xml:space="preserve">plural nouns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investments</w:t>
      </w:r>
      <w:r>
        <w:br/>
      </w:r>
      <w:r>
        <w:rPr>
          <w:rStyle w:val="VerbatimChar"/>
        </w:rPr>
        <w:t xml:space="preserve">portfolio_positions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startup_id</w:t>
      </w:r>
      <w:r>
        <w:br/>
      </w:r>
      <w:r>
        <w:rPr>
          <w:rStyle w:val="VerbatimChar"/>
        </w:rPr>
        <w:t xml:space="preserve">founder_id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VerbatimChar"/>
        </w:rPr>
        <w:t xml:space="preserve">idx_users_email</w:t>
      </w:r>
      <w:r>
        <w:br/>
      </w:r>
      <w:r>
        <w:rPr>
          <w:rStyle w:val="VerbatimChar"/>
        </w:rPr>
        <w:t xml:space="preserve">idx_startups_sector</w:t>
      </w:r>
    </w:p>
    <w:p>
      <w:pPr>
        <w:pStyle w:val="FirstParagraph"/>
      </w:pPr>
      <w:r>
        <w:t xml:space="preserve">Foreign keys:</w:t>
      </w:r>
    </w:p>
    <w:p>
      <w:pPr>
        <w:pStyle w:val="SourceCode"/>
      </w:pPr>
      <w:r>
        <w:rPr>
          <w:rStyle w:val="VerbatimChar"/>
        </w:rPr>
        <w:t xml:space="preserve">fk_investments_startup</w:t>
      </w:r>
    </w:p>
    <w:p>
      <w:pPr>
        <w:pStyle w:val="FirstParagraph"/>
      </w:pPr>
      <w:r>
        <w:t xml:space="preserve">Unique constraints:</w:t>
      </w:r>
    </w:p>
    <w:p>
      <w:pPr>
        <w:pStyle w:val="SourceCode"/>
      </w:pPr>
      <w:r>
        <w:rPr>
          <w:rStyle w:val="VerbatimChar"/>
        </w:rPr>
        <w:t xml:space="preserve">uq_users_email</w:t>
      </w:r>
    </w:p>
    <w:p>
      <w:r>
        <w:pict>
          <v:rect style="width:0;height:1.5pt" o:hralign="center" o:hrstd="t" o:hr="t"/>
        </w:pict>
      </w:r>
    </w:p>
    <w:bookmarkEnd w:id="28"/>
    <w:bookmarkStart w:id="29" w:name="primary-keys"/>
    <w:p>
      <w:pPr>
        <w:pStyle w:val="Heading1"/>
      </w:pPr>
      <w:r>
        <w:t xml:space="preserve">7. Primary Keys</w:t>
      </w:r>
    </w:p>
    <w:p>
      <w:pPr>
        <w:pStyle w:val="FirstParagraph"/>
      </w:pPr>
      <w:r>
        <w:t xml:space="preserve">Use UUIDs for public entities.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id UUID PRIMARY KEY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6"/>
        </w:numPr>
      </w:pPr>
      <w:r>
        <w:t xml:space="preserve">Globally unique</w:t>
      </w:r>
    </w:p>
    <w:p>
      <w:pPr>
        <w:pStyle w:val="Compact"/>
        <w:numPr>
          <w:ilvl w:val="0"/>
          <w:numId w:val="1006"/>
        </w:numPr>
      </w:pPr>
      <w:r>
        <w:t xml:space="preserve">Difficult to enumerate</w:t>
      </w:r>
    </w:p>
    <w:p>
      <w:pPr>
        <w:pStyle w:val="Compact"/>
        <w:numPr>
          <w:ilvl w:val="0"/>
          <w:numId w:val="1006"/>
        </w:numPr>
      </w:pPr>
      <w:r>
        <w:t xml:space="preserve">Better for distributed systems</w:t>
      </w:r>
    </w:p>
    <w:p>
      <w:pPr>
        <w:pStyle w:val="FirstParagraph"/>
      </w:pPr>
      <w:r>
        <w:t xml:space="preserve">Avoid exposing sequential IDs in public APIs.</w:t>
      </w:r>
    </w:p>
    <w:p>
      <w:r>
        <w:pict>
          <v:rect style="width:0;height:1.5pt" o:hralign="center" o:hrstd="t" o:hr="t"/>
        </w:pict>
      </w:r>
    </w:p>
    <w:bookmarkEnd w:id="29"/>
    <w:bookmarkStart w:id="30" w:name="foreign-keys"/>
    <w:p>
      <w:pPr>
        <w:pStyle w:val="Heading1"/>
      </w:pPr>
      <w:r>
        <w:t xml:space="preserve">8. Foreign Keys</w:t>
      </w:r>
    </w:p>
    <w:p>
      <w:pPr>
        <w:pStyle w:val="FirstParagraph"/>
      </w:pPr>
      <w:r>
        <w:t xml:space="preserve">Every relationship should be explicit.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investment.startup_id</w:t>
      </w:r>
      <w:r>
        <w:br/>
      </w:r>
      <w:r>
        <w:rPr>
          <w:rStyle w:val="VerbatimChar"/>
        </w:rPr>
        <w:t xml:space="preserve">    →</w:t>
      </w:r>
      <w:r>
        <w:br/>
      </w:r>
      <w:r>
        <w:rPr>
          <w:rStyle w:val="VerbatimChar"/>
        </w:rPr>
        <w:t xml:space="preserve">startups.id</w:t>
      </w:r>
    </w:p>
    <w:p>
      <w:pPr>
        <w:pStyle w:val="FirstParagraph"/>
      </w:pPr>
      <w:r>
        <w:t xml:space="preserve">Always define:</w:t>
      </w:r>
    </w:p>
    <w:p>
      <w:pPr>
        <w:pStyle w:val="Compact"/>
        <w:numPr>
          <w:ilvl w:val="0"/>
          <w:numId w:val="1007"/>
        </w:numPr>
      </w:pPr>
      <w:r>
        <w:t xml:space="preserve">Foreign key constraints</w:t>
      </w:r>
    </w:p>
    <w:p>
      <w:pPr>
        <w:pStyle w:val="Compact"/>
        <w:numPr>
          <w:ilvl w:val="0"/>
          <w:numId w:val="1007"/>
        </w:numPr>
      </w:pPr>
      <w:r>
        <w:t xml:space="preserve">Cascade behavior</w:t>
      </w:r>
    </w:p>
    <w:p>
      <w:pPr>
        <w:pStyle w:val="Compact"/>
        <w:numPr>
          <w:ilvl w:val="0"/>
          <w:numId w:val="1007"/>
        </w:numPr>
      </w:pPr>
      <w:r>
        <w:t xml:space="preserve">Referential integrity</w:t>
      </w:r>
    </w:p>
    <w:p>
      <w:pPr>
        <w:pStyle w:val="FirstParagraph"/>
      </w:pPr>
      <w:r>
        <w:t xml:space="preserve">Do not rely solely on application logic.</w:t>
      </w:r>
    </w:p>
    <w:p>
      <w:r>
        <w:pict>
          <v:rect style="width:0;height:1.5pt" o:hralign="center" o:hrstd="t" o:hr="t"/>
        </w:pict>
      </w:r>
    </w:p>
    <w:bookmarkEnd w:id="30"/>
    <w:bookmarkStart w:id="31" w:name="data-types"/>
    <w:p>
      <w:pPr>
        <w:pStyle w:val="Heading1"/>
      </w:pPr>
      <w:r>
        <w:t xml:space="preserve">9. Data Types</w:t>
      </w:r>
    </w:p>
    <w:p>
      <w:pPr>
        <w:pStyle w:val="FirstParagraph"/>
      </w:pPr>
      <w:r>
        <w:t xml:space="preserve">Choose the smallest type that satisfies requirements.</w:t>
      </w:r>
    </w:p>
    <w:p>
      <w:pPr>
        <w:pStyle w:val="BodyText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Data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NUMERIC(p,s)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</w:tbl>
    <w:p>
      <w:pPr>
        <w:pStyle w:val="BodyText"/>
      </w:pPr>
      <w:r>
        <w:t xml:space="preserve">Never use floating-point types for financial calculations.</w:t>
      </w:r>
    </w:p>
    <w:p>
      <w:r>
        <w:pict>
          <v:rect style="width:0;height:1.5pt" o:hralign="center" o:hrstd="t" o:hr="t"/>
        </w:pict>
      </w:r>
    </w:p>
    <w:bookmarkEnd w:id="31"/>
    <w:bookmarkStart w:id="32" w:name="constraints"/>
    <w:p>
      <w:pPr>
        <w:pStyle w:val="Heading1"/>
      </w:pPr>
      <w:r>
        <w:t xml:space="preserve">10. Constraints</w:t>
      </w:r>
    </w:p>
    <w:p>
      <w:pPr>
        <w:pStyle w:val="FirstParagraph"/>
      </w:pPr>
      <w:r>
        <w:t xml:space="preserve">Prefer database constraints over application-only validation.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NOT NULL</w:t>
      </w:r>
    </w:p>
    <w:p>
      <w:pPr>
        <w:pStyle w:val="Compact"/>
        <w:numPr>
          <w:ilvl w:val="0"/>
          <w:numId w:val="1008"/>
        </w:numPr>
      </w:pPr>
      <w:r>
        <w:t xml:space="preserve">UNIQUE</w:t>
      </w:r>
    </w:p>
    <w:p>
      <w:pPr>
        <w:pStyle w:val="Compact"/>
        <w:numPr>
          <w:ilvl w:val="0"/>
          <w:numId w:val="1008"/>
        </w:numPr>
      </w:pPr>
      <w:r>
        <w:t xml:space="preserve">CHECK</w:t>
      </w:r>
    </w:p>
    <w:p>
      <w:pPr>
        <w:pStyle w:val="Compact"/>
        <w:numPr>
          <w:ilvl w:val="0"/>
          <w:numId w:val="1008"/>
        </w:numPr>
      </w:pPr>
      <w:r>
        <w:t xml:space="preserve">FOREIGN KEY</w:t>
      </w:r>
    </w:p>
    <w:p>
      <w:pPr>
        <w:pStyle w:val="FirstParagraph"/>
      </w:pPr>
      <w:r>
        <w:t xml:space="preserve">Business rules should be enforced at the appropriate layer, but data integrity belongs in the database whenever possible.</w:t>
      </w:r>
    </w:p>
    <w:p>
      <w:r>
        <w:pict>
          <v:rect style="width:0;height:1.5pt" o:hralign="center" o:hrstd="t" o:hr="t"/>
        </w:pict>
      </w:r>
    </w:p>
    <w:bookmarkEnd w:id="32"/>
    <w:bookmarkStart w:id="33" w:name="indexing-standards"/>
    <w:p>
      <w:pPr>
        <w:pStyle w:val="Heading1"/>
      </w:pPr>
      <w:r>
        <w:t xml:space="preserve">11. Indexing Standards</w:t>
      </w:r>
    </w:p>
    <w:p>
      <w:pPr>
        <w:pStyle w:val="FirstParagraph"/>
      </w:pPr>
      <w:r>
        <w:t xml:space="preserve">Create indexes for:</w:t>
      </w:r>
    </w:p>
    <w:p>
      <w:pPr>
        <w:pStyle w:val="Compact"/>
        <w:numPr>
          <w:ilvl w:val="0"/>
          <w:numId w:val="1009"/>
        </w:numPr>
      </w:pPr>
      <w:r>
        <w:t xml:space="preserve">Primary keys</w:t>
      </w:r>
    </w:p>
    <w:p>
      <w:pPr>
        <w:pStyle w:val="Compact"/>
        <w:numPr>
          <w:ilvl w:val="0"/>
          <w:numId w:val="1009"/>
        </w:numPr>
      </w:pPr>
      <w:r>
        <w:t xml:space="preserve">Foreign keys</w:t>
      </w:r>
    </w:p>
    <w:p>
      <w:pPr>
        <w:pStyle w:val="Compact"/>
        <w:numPr>
          <w:ilvl w:val="0"/>
          <w:numId w:val="1009"/>
        </w:numPr>
      </w:pPr>
      <w:r>
        <w:t xml:space="preserve">Frequently filtered columns</w:t>
      </w:r>
    </w:p>
    <w:p>
      <w:pPr>
        <w:pStyle w:val="Compact"/>
        <w:numPr>
          <w:ilvl w:val="0"/>
          <w:numId w:val="1009"/>
        </w:numPr>
      </w:pPr>
      <w:r>
        <w:t xml:space="preserve">Frequently sorted columns</w:t>
      </w:r>
    </w:p>
    <w:p>
      <w:pPr>
        <w:pStyle w:val="Compact"/>
        <w:numPr>
          <w:ilvl w:val="0"/>
          <w:numId w:val="1009"/>
        </w:numPr>
      </w:pPr>
      <w:r>
        <w:t xml:space="preserve">Unique lookups</w:t>
      </w:r>
    </w:p>
    <w:p>
      <w:pPr>
        <w:pStyle w:val="FirstParagraph"/>
      </w:pPr>
      <w:r>
        <w:t xml:space="preserve">Review indexes periodically.</w:t>
      </w:r>
    </w:p>
    <w:p>
      <w:pPr>
        <w:pStyle w:val="BodyText"/>
      </w:pPr>
      <w:r>
        <w:t xml:space="preserve">Avoid excessive indexing that slows writes.</w:t>
      </w:r>
    </w:p>
    <w:p>
      <w:r>
        <w:pict>
          <v:rect style="width:0;height:1.5pt" o:hralign="center" o:hrstd="t" o:hr="t"/>
        </w:pict>
      </w:r>
    </w:p>
    <w:bookmarkEnd w:id="33"/>
    <w:bookmarkStart w:id="34" w:name="normalization"/>
    <w:p>
      <w:pPr>
        <w:pStyle w:val="Heading1"/>
      </w:pPr>
      <w:r>
        <w:t xml:space="preserve">12. Normalization</w:t>
      </w:r>
    </w:p>
    <w:p>
      <w:pPr>
        <w:pStyle w:val="FirstParagraph"/>
      </w:pPr>
      <w:r>
        <w:t xml:space="preserve">Default target:</w:t>
      </w:r>
    </w:p>
    <w:p>
      <w:pPr>
        <w:pStyle w:val="BodyText"/>
      </w:pPr>
      <w:r>
        <w:t xml:space="preserve">Third Normal Form (3NF)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Reduced redundancy</w:t>
      </w:r>
    </w:p>
    <w:p>
      <w:pPr>
        <w:pStyle w:val="Compact"/>
        <w:numPr>
          <w:ilvl w:val="0"/>
          <w:numId w:val="1010"/>
        </w:numPr>
      </w:pPr>
      <w:r>
        <w:t xml:space="preserve">Easier updates</w:t>
      </w:r>
    </w:p>
    <w:p>
      <w:pPr>
        <w:pStyle w:val="Compact"/>
        <w:numPr>
          <w:ilvl w:val="0"/>
          <w:numId w:val="1010"/>
        </w:numPr>
      </w:pPr>
      <w:r>
        <w:t xml:space="preserve">Better integrity</w:t>
      </w:r>
    </w:p>
    <w:p>
      <w:pPr>
        <w:pStyle w:val="FirstParagraph"/>
      </w:pPr>
      <w:r>
        <w:t xml:space="preserve">Normalize unless there is measured evidence that denormalization is necessary.</w:t>
      </w:r>
    </w:p>
    <w:p>
      <w:r>
        <w:pict>
          <v:rect style="width:0;height:1.5pt" o:hralign="center" o:hrstd="t" o:hr="t"/>
        </w:pict>
      </w:r>
    </w:p>
    <w:bookmarkEnd w:id="34"/>
    <w:bookmarkStart w:id="35" w:name="denormalization"/>
    <w:p>
      <w:pPr>
        <w:pStyle w:val="Heading1"/>
      </w:pPr>
      <w:r>
        <w:t xml:space="preserve">13. Denormalization</w:t>
      </w:r>
    </w:p>
    <w:p>
      <w:pPr>
        <w:pStyle w:val="FirstParagraph"/>
      </w:pPr>
      <w:r>
        <w:t xml:space="preserve">Denormalize only when justified.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Reporting tables</w:t>
      </w:r>
    </w:p>
    <w:p>
      <w:pPr>
        <w:pStyle w:val="Compact"/>
        <w:numPr>
          <w:ilvl w:val="0"/>
          <w:numId w:val="1011"/>
        </w:numPr>
      </w:pPr>
      <w:r>
        <w:t xml:space="preserve">Aggregated analytics</w:t>
      </w:r>
    </w:p>
    <w:p>
      <w:pPr>
        <w:pStyle w:val="Compact"/>
        <w:numPr>
          <w:ilvl w:val="0"/>
          <w:numId w:val="1011"/>
        </w:numPr>
      </w:pPr>
      <w:r>
        <w:t xml:space="preserve">Read-heavy dashboards</w:t>
      </w:r>
    </w:p>
    <w:p>
      <w:pPr>
        <w:pStyle w:val="FirstParagraph"/>
      </w:pPr>
      <w:r>
        <w:t xml:space="preserve">Document every denormalization decision in an ADR.</w:t>
      </w:r>
    </w:p>
    <w:p>
      <w:r>
        <w:pict>
          <v:rect style="width:0;height:1.5pt" o:hralign="center" o:hrstd="t" o:hr="t"/>
        </w:pict>
      </w:r>
    </w:p>
    <w:bookmarkEnd w:id="35"/>
    <w:bookmarkStart w:id="36" w:name="transactions"/>
    <w:p>
      <w:pPr>
        <w:pStyle w:val="Heading1"/>
      </w:pPr>
      <w:r>
        <w:t xml:space="preserve">14. Transactions</w:t>
      </w:r>
    </w:p>
    <w:p>
      <w:pPr>
        <w:pStyle w:val="FirstParagraph"/>
      </w:pPr>
      <w:r>
        <w:t xml:space="preserve">Every business operation should execute within an appropriate transaction boundary.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Create investment</w:t>
      </w:r>
    </w:p>
    <w:p>
      <w:pPr>
        <w:pStyle w:val="Compact"/>
        <w:numPr>
          <w:ilvl w:val="0"/>
          <w:numId w:val="1012"/>
        </w:numPr>
      </w:pPr>
      <w:r>
        <w:t xml:space="preserve">Update cap table</w:t>
      </w:r>
    </w:p>
    <w:p>
      <w:pPr>
        <w:pStyle w:val="Compact"/>
        <w:numPr>
          <w:ilvl w:val="0"/>
          <w:numId w:val="1012"/>
        </w:numPr>
      </w:pPr>
      <w:r>
        <w:t xml:space="preserve">Commit funding round</w:t>
      </w:r>
    </w:p>
    <w:p>
      <w:pPr>
        <w:pStyle w:val="FirstParagraph"/>
      </w:pPr>
      <w:r>
        <w:t xml:space="preserve">Avoid long-running transactions.</w:t>
      </w:r>
    </w:p>
    <w:p>
      <w:pPr>
        <w:pStyle w:val="BodyText"/>
      </w:pPr>
      <w:r>
        <w:t xml:space="preserve">Keep transactions as short as possible.</w:t>
      </w:r>
    </w:p>
    <w:p>
      <w:r>
        <w:pict>
          <v:rect style="width:0;height:1.5pt" o:hralign="center" o:hrstd="t" o:hr="t"/>
        </w:pict>
      </w:r>
    </w:p>
    <w:bookmarkEnd w:id="36"/>
    <w:bookmarkStart w:id="37" w:name="repository-pattern"/>
    <w:p>
      <w:pPr>
        <w:pStyle w:val="Heading1"/>
      </w:pPr>
      <w:r>
        <w:t xml:space="preserve">15. Repository Pattern</w:t>
      </w:r>
    </w:p>
    <w:p>
      <w:pPr>
        <w:pStyle w:val="FirstParagraph"/>
      </w:pPr>
      <w:r>
        <w:t xml:space="preserve">Repositories encapsulate persistence.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CRUD</w:t>
      </w:r>
    </w:p>
    <w:p>
      <w:pPr>
        <w:pStyle w:val="Compact"/>
        <w:numPr>
          <w:ilvl w:val="0"/>
          <w:numId w:val="1013"/>
        </w:numPr>
      </w:pPr>
      <w:r>
        <w:t xml:space="preserve">Queries</w:t>
      </w:r>
    </w:p>
    <w:p>
      <w:pPr>
        <w:pStyle w:val="Compact"/>
        <w:numPr>
          <w:ilvl w:val="0"/>
          <w:numId w:val="1013"/>
        </w:numPr>
      </w:pPr>
      <w:r>
        <w:t xml:space="preserve">Pagination</w:t>
      </w:r>
    </w:p>
    <w:p>
      <w:pPr>
        <w:pStyle w:val="Compact"/>
        <w:numPr>
          <w:ilvl w:val="0"/>
          <w:numId w:val="1013"/>
        </w:numPr>
      </w:pPr>
      <w:r>
        <w:t xml:space="preserve">Transaction participation</w:t>
      </w:r>
    </w:p>
    <w:p>
      <w:pPr>
        <w:pStyle w:val="FirstParagraph"/>
      </w:pPr>
      <w:r>
        <w:t xml:space="preserve">Repositories must not contain business rules.</w:t>
      </w:r>
    </w:p>
    <w:p>
      <w:r>
        <w:pict>
          <v:rect style="width:0;height:1.5pt" o:hralign="center" o:hrstd="t" o:hr="t"/>
        </w:pict>
      </w:r>
    </w:p>
    <w:bookmarkEnd w:id="37"/>
    <w:bookmarkStart w:id="38" w:name="sqlalchemy-standards"/>
    <w:p>
      <w:pPr>
        <w:pStyle w:val="Heading1"/>
      </w:pPr>
      <w:r>
        <w:t xml:space="preserve">16. SQLAlchemy Standards</w:t>
      </w:r>
    </w:p>
    <w:p>
      <w:pPr>
        <w:pStyle w:val="FirstParagraph"/>
      </w:pPr>
      <w:r>
        <w:t xml:space="preserve">Guidelines:</w:t>
      </w:r>
    </w:p>
    <w:p>
      <w:pPr>
        <w:pStyle w:val="Compact"/>
        <w:numPr>
          <w:ilvl w:val="0"/>
          <w:numId w:val="1014"/>
        </w:numPr>
      </w:pPr>
      <w:r>
        <w:t xml:space="preserve">Declarative mappings</w:t>
      </w:r>
    </w:p>
    <w:p>
      <w:pPr>
        <w:pStyle w:val="Compact"/>
        <w:numPr>
          <w:ilvl w:val="0"/>
          <w:numId w:val="1014"/>
        </w:numPr>
      </w:pPr>
      <w:r>
        <w:t xml:space="preserve">Explicit relationships</w:t>
      </w:r>
    </w:p>
    <w:p>
      <w:pPr>
        <w:pStyle w:val="Compact"/>
        <w:numPr>
          <w:ilvl w:val="0"/>
          <w:numId w:val="1014"/>
        </w:numPr>
      </w:pPr>
      <w:r>
        <w:t xml:space="preserve">Lazy/eager loading chosen intentionally</w:t>
      </w:r>
    </w:p>
    <w:p>
      <w:pPr>
        <w:pStyle w:val="Compact"/>
        <w:numPr>
          <w:ilvl w:val="0"/>
          <w:numId w:val="1014"/>
        </w:numPr>
      </w:pPr>
      <w:r>
        <w:t xml:space="preserve">Avoid hidden query side effects</w:t>
      </w:r>
    </w:p>
    <w:p>
      <w:pPr>
        <w:pStyle w:val="Compact"/>
        <w:numPr>
          <w:ilvl w:val="0"/>
          <w:numId w:val="1014"/>
        </w:numPr>
      </w:pPr>
      <w:r>
        <w:t xml:space="preserve">Keep models focused on persistence</w:t>
      </w:r>
    </w:p>
    <w:p>
      <w:pPr>
        <w:pStyle w:val="FirstParagraph"/>
      </w:pPr>
      <w:r>
        <w:t xml:space="preserve">Domain workflows belong in services, not ORM models.</w:t>
      </w:r>
    </w:p>
    <w:p>
      <w:r>
        <w:pict>
          <v:rect style="width:0;height:1.5pt" o:hralign="center" o:hrstd="t" o:hr="t"/>
        </w:pict>
      </w:r>
    </w:p>
    <w:bookmarkEnd w:id="38"/>
    <w:bookmarkStart w:id="39" w:name="alembic-migration-standards"/>
    <w:p>
      <w:pPr>
        <w:pStyle w:val="Heading1"/>
      </w:pPr>
      <w:r>
        <w:t xml:space="preserve">17. Alembic Migration Standards</w:t>
      </w:r>
    </w:p>
    <w:p>
      <w:pPr>
        <w:pStyle w:val="FirstParagraph"/>
      </w:pPr>
      <w:r>
        <w:t xml:space="preserve">Every schema change requires:</w:t>
      </w:r>
    </w:p>
    <w:p>
      <w:pPr>
        <w:pStyle w:val="Compact"/>
        <w:numPr>
          <w:ilvl w:val="0"/>
          <w:numId w:val="1015"/>
        </w:numPr>
      </w:pPr>
      <w:r>
        <w:t xml:space="preserve">Upgrade migration</w:t>
      </w:r>
    </w:p>
    <w:p>
      <w:pPr>
        <w:pStyle w:val="Compact"/>
        <w:numPr>
          <w:ilvl w:val="0"/>
          <w:numId w:val="1015"/>
        </w:numPr>
      </w:pPr>
      <w:r>
        <w:t xml:space="preserve">Downgrade migration</w:t>
      </w:r>
    </w:p>
    <w:p>
      <w:pPr>
        <w:pStyle w:val="Compact"/>
        <w:numPr>
          <w:ilvl w:val="0"/>
          <w:numId w:val="1015"/>
        </w:numPr>
      </w:pPr>
      <w:r>
        <w:t xml:space="preserve">Review</w:t>
      </w:r>
    </w:p>
    <w:p>
      <w:pPr>
        <w:pStyle w:val="Compact"/>
        <w:numPr>
          <w:ilvl w:val="0"/>
          <w:numId w:val="1015"/>
        </w:numPr>
      </w:pPr>
      <w:r>
        <w:t xml:space="preserve">Testing</w:t>
      </w:r>
    </w:p>
    <w:p>
      <w:pPr>
        <w:pStyle w:val="FirstParagraph"/>
      </w:pPr>
      <w:r>
        <w:t xml:space="preserve">Never edit historical migrations after they are applied in shared environments.</w:t>
      </w:r>
    </w:p>
    <w:p>
      <w:pPr>
        <w:pStyle w:val="BodyText"/>
      </w:pPr>
      <w:r>
        <w:t xml:space="preserve">Migration files should describe one logical change.</w:t>
      </w:r>
    </w:p>
    <w:p>
      <w:r>
        <w:pict>
          <v:rect style="width:0;height:1.5pt" o:hralign="center" o:hrstd="t" o:hr="t"/>
        </w:pict>
      </w:r>
    </w:p>
    <w:bookmarkEnd w:id="39"/>
    <w:bookmarkStart w:id="40" w:name="soft-deletes"/>
    <w:p>
      <w:pPr>
        <w:pStyle w:val="Heading1"/>
      </w:pPr>
      <w:r>
        <w:t xml:space="preserve">18. Soft Deletes</w:t>
      </w:r>
    </w:p>
    <w:p>
      <w:pPr>
        <w:pStyle w:val="FirstParagraph"/>
      </w:pPr>
      <w:r>
        <w:t xml:space="preserve">Default strategy:</w:t>
      </w:r>
    </w:p>
    <w:p>
      <w:pPr>
        <w:pStyle w:val="SourceCode"/>
      </w:pPr>
      <w:r>
        <w:rPr>
          <w:rStyle w:val="VerbatimChar"/>
        </w:rPr>
        <w:t xml:space="preserve">deleted_at TIMESTAMP NULL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6"/>
        </w:numPr>
      </w:pPr>
      <w:r>
        <w:t xml:space="preserve">Auditability</w:t>
      </w:r>
    </w:p>
    <w:p>
      <w:pPr>
        <w:pStyle w:val="Compact"/>
        <w:numPr>
          <w:ilvl w:val="0"/>
          <w:numId w:val="1016"/>
        </w:numPr>
      </w:pPr>
      <w:r>
        <w:t xml:space="preserve">Recovery</w:t>
      </w:r>
    </w:p>
    <w:p>
      <w:pPr>
        <w:pStyle w:val="Compact"/>
        <w:numPr>
          <w:ilvl w:val="0"/>
          <w:numId w:val="1016"/>
        </w:numPr>
      </w:pPr>
      <w:r>
        <w:t xml:space="preserve">Historical reporting</w:t>
      </w:r>
    </w:p>
    <w:p>
      <w:pPr>
        <w:pStyle w:val="FirstParagraph"/>
      </w:pPr>
      <w:r>
        <w:t xml:space="preserve">Permanent deletion should be reserved for approved operational or regulatory scenarios.</w:t>
      </w:r>
    </w:p>
    <w:p>
      <w:r>
        <w:pict>
          <v:rect style="width:0;height:1.5pt" o:hralign="center" o:hrstd="t" o:hr="t"/>
        </w:pict>
      </w:r>
    </w:p>
    <w:bookmarkEnd w:id="40"/>
    <w:bookmarkStart w:id="41" w:name="audit-fields"/>
    <w:p>
      <w:pPr>
        <w:pStyle w:val="Heading1"/>
      </w:pPr>
      <w:r>
        <w:t xml:space="preserve">19. Audit Fields</w:t>
      </w:r>
    </w:p>
    <w:p>
      <w:pPr>
        <w:pStyle w:val="FirstParagraph"/>
      </w:pPr>
      <w:r>
        <w:t xml:space="preserve">Every business table should include: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updated_by</w:t>
      </w:r>
    </w:p>
    <w:p>
      <w:pPr>
        <w:pStyle w:val="FirstParagraph"/>
      </w:pPr>
      <w:r>
        <w:t xml:space="preserve">Where applicable:</w:t>
      </w:r>
    </w:p>
    <w:p>
      <w:pPr>
        <w:pStyle w:val="SourceCode"/>
      </w:pPr>
      <w:r>
        <w:rPr>
          <w:rStyle w:val="VerbatimChar"/>
        </w:rPr>
        <w:t xml:space="preserve">deleted_at</w:t>
      </w:r>
      <w:r>
        <w:br/>
      </w:r>
      <w:r>
        <w:rPr>
          <w:rStyle w:val="VerbatimChar"/>
        </w:rPr>
        <w:t xml:space="preserve">deleted_by</w:t>
      </w:r>
    </w:p>
    <w:p>
      <w:pPr>
        <w:pStyle w:val="FirstParagraph"/>
      </w:pPr>
      <w:r>
        <w:t xml:space="preserve">Audit fields support traceability and operational investigations.</w:t>
      </w:r>
    </w:p>
    <w:p>
      <w:r>
        <w:pict>
          <v:rect style="width:0;height:1.5pt" o:hralign="center" o:hrstd="t" o:hr="t"/>
        </w:pict>
      </w:r>
    </w:p>
    <w:bookmarkEnd w:id="41"/>
    <w:bookmarkStart w:id="42" w:name="multi-tenant-design"/>
    <w:p>
      <w:pPr>
        <w:pStyle w:val="Heading1"/>
      </w:pPr>
      <w:r>
        <w:t xml:space="preserve">20. Multi-Tenant Design</w:t>
      </w:r>
    </w:p>
    <w:p>
      <w:pPr>
        <w:pStyle w:val="FirstParagraph"/>
      </w:pPr>
      <w:r>
        <w:t xml:space="preserve">For organization-scoped data: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Every tenant-aware query must enforce tenant isolation.</w:t>
      </w:r>
    </w:p>
    <w:p>
      <w:pPr>
        <w:pStyle w:val="BodyText"/>
      </w:pPr>
      <w:r>
        <w:t xml:space="preserve">Cross-tenant access is prohibited unless explicitly authorized.</w:t>
      </w:r>
    </w:p>
    <w:p>
      <w:r>
        <w:pict>
          <v:rect style="width:0;height:1.5pt" o:hralign="center" o:hrstd="t" o:hr="t"/>
        </w:pict>
      </w:r>
    </w:p>
    <w:bookmarkEnd w:id="42"/>
    <w:bookmarkStart w:id="43" w:name="security-standards"/>
    <w:p>
      <w:pPr>
        <w:pStyle w:val="Heading1"/>
      </w:pPr>
      <w:r>
        <w:t xml:space="preserve">21. Security Standards</w:t>
      </w:r>
    </w:p>
    <w:p>
      <w:pPr>
        <w:pStyle w:val="FirstParagraph"/>
      </w:pPr>
      <w:r>
        <w:t xml:space="preserve">Protect the database through:</w:t>
      </w:r>
    </w:p>
    <w:p>
      <w:pPr>
        <w:pStyle w:val="Compact"/>
        <w:numPr>
          <w:ilvl w:val="0"/>
          <w:numId w:val="1017"/>
        </w:numPr>
      </w:pPr>
      <w:r>
        <w:t xml:space="preserve">Least-privilege accounts</w:t>
      </w:r>
    </w:p>
    <w:p>
      <w:pPr>
        <w:pStyle w:val="Compact"/>
        <w:numPr>
          <w:ilvl w:val="0"/>
          <w:numId w:val="1017"/>
        </w:numPr>
      </w:pPr>
      <w:r>
        <w:t xml:space="preserve">Encrypted connections</w:t>
      </w:r>
    </w:p>
    <w:p>
      <w:pPr>
        <w:pStyle w:val="Compact"/>
        <w:numPr>
          <w:ilvl w:val="0"/>
          <w:numId w:val="1017"/>
        </w:numPr>
      </w:pPr>
      <w:r>
        <w:t xml:space="preserve">Secret management</w:t>
      </w:r>
    </w:p>
    <w:p>
      <w:pPr>
        <w:pStyle w:val="Compact"/>
        <w:numPr>
          <w:ilvl w:val="0"/>
          <w:numId w:val="1017"/>
        </w:numPr>
      </w:pPr>
      <w:r>
        <w:t xml:space="preserve">Role separation</w:t>
      </w:r>
    </w:p>
    <w:p>
      <w:pPr>
        <w:pStyle w:val="Compact"/>
        <w:numPr>
          <w:ilvl w:val="0"/>
          <w:numId w:val="1017"/>
        </w:numPr>
      </w:pPr>
      <w:r>
        <w:t xml:space="preserve">Audit logging</w:t>
      </w:r>
    </w:p>
    <w:p>
      <w:pPr>
        <w:pStyle w:val="FirstParagraph"/>
      </w:pPr>
      <w:r>
        <w:t xml:space="preserve">Application code should never embed credentials.</w:t>
      </w:r>
    </w:p>
    <w:p>
      <w:r>
        <w:pict>
          <v:rect style="width:0;height:1.5pt" o:hralign="center" o:hrstd="t" o:hr="t"/>
        </w:pict>
      </w:r>
    </w:p>
    <w:bookmarkEnd w:id="43"/>
    <w:bookmarkStart w:id="44" w:name="encryption-standards"/>
    <w:p>
      <w:pPr>
        <w:pStyle w:val="Heading1"/>
      </w:pPr>
      <w:r>
        <w:t xml:space="preserve">22. Encryption Standards</w:t>
      </w:r>
    </w:p>
    <w:p>
      <w:pPr>
        <w:pStyle w:val="FirstParagraph"/>
      </w:pPr>
      <w:r>
        <w:t xml:space="preserve">Encrypt:</w:t>
      </w:r>
    </w:p>
    <w:p>
      <w:pPr>
        <w:pStyle w:val="Compact"/>
        <w:numPr>
          <w:ilvl w:val="0"/>
          <w:numId w:val="1018"/>
        </w:numPr>
      </w:pPr>
      <w:r>
        <w:t xml:space="preserve">Database connections (TLS)</w:t>
      </w:r>
    </w:p>
    <w:p>
      <w:pPr>
        <w:pStyle w:val="Compact"/>
        <w:numPr>
          <w:ilvl w:val="0"/>
          <w:numId w:val="1018"/>
        </w:numPr>
      </w:pPr>
      <w:r>
        <w:t xml:space="preserve">Sensitive backups</w:t>
      </w:r>
    </w:p>
    <w:p>
      <w:pPr>
        <w:pStyle w:val="Compact"/>
        <w:numPr>
          <w:ilvl w:val="0"/>
          <w:numId w:val="1018"/>
        </w:numPr>
      </w:pPr>
      <w:r>
        <w:t xml:space="preserve">Sensitive exported data</w:t>
      </w:r>
    </w:p>
    <w:p>
      <w:pPr>
        <w:pStyle w:val="FirstParagraph"/>
      </w:pPr>
      <w:r>
        <w:t xml:space="preserve">For highly sensitive fields, consider application-level encryption in addition to database encryption.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-standards"/>
    <w:p>
      <w:pPr>
        <w:pStyle w:val="Heading1"/>
      </w:pPr>
      <w:r>
        <w:t xml:space="preserve">23. Performance Standards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19"/>
        </w:numPr>
      </w:pPr>
      <w:r>
        <w:t xml:space="preserve">Slow queries</w:t>
      </w:r>
    </w:p>
    <w:p>
      <w:pPr>
        <w:pStyle w:val="Compact"/>
        <w:numPr>
          <w:ilvl w:val="0"/>
          <w:numId w:val="1019"/>
        </w:numPr>
      </w:pPr>
      <w:r>
        <w:t xml:space="preserve">Missing indexes</w:t>
      </w:r>
    </w:p>
    <w:p>
      <w:pPr>
        <w:pStyle w:val="Compact"/>
        <w:numPr>
          <w:ilvl w:val="0"/>
          <w:numId w:val="1019"/>
        </w:numPr>
      </w:pPr>
      <w:r>
        <w:t xml:space="preserve">Lock contention</w:t>
      </w:r>
    </w:p>
    <w:p>
      <w:pPr>
        <w:pStyle w:val="Compact"/>
        <w:numPr>
          <w:ilvl w:val="0"/>
          <w:numId w:val="1019"/>
        </w:numPr>
      </w:pPr>
      <w:r>
        <w:t xml:space="preserve">Table growth</w:t>
      </w:r>
    </w:p>
    <w:p>
      <w:pPr>
        <w:pStyle w:val="Compact"/>
        <w:numPr>
          <w:ilvl w:val="0"/>
          <w:numId w:val="1019"/>
        </w:numPr>
      </w:pPr>
      <w:r>
        <w:t xml:space="preserve">Connection pool usage</w:t>
      </w:r>
    </w:p>
    <w:p>
      <w:pPr>
        <w:pStyle w:val="Compact"/>
        <w:numPr>
          <w:ilvl w:val="0"/>
          <w:numId w:val="1019"/>
        </w:numPr>
      </w:pPr>
      <w:r>
        <w:t xml:space="preserve">Query execution plans</w:t>
      </w:r>
    </w:p>
    <w:p>
      <w:pPr>
        <w:pStyle w:val="FirstParagraph"/>
      </w:pPr>
      <w:r>
        <w:t xml:space="preserve">Optimize based on measurements, not assumptions.</w:t>
      </w:r>
    </w:p>
    <w:p>
      <w:r>
        <w:pict>
          <v:rect style="width:0;height:1.5pt" o:hralign="center" o:hrstd="t" o:hr="t"/>
        </w:pict>
      </w:r>
    </w:p>
    <w:bookmarkEnd w:id="45"/>
    <w:bookmarkStart w:id="46" w:name="query-standards"/>
    <w:p>
      <w:pPr>
        <w:pStyle w:val="Heading1"/>
      </w:pPr>
      <w:r>
        <w:t xml:space="preserve">24. Query Standards</w:t>
      </w:r>
    </w:p>
    <w:p>
      <w:pPr>
        <w:pStyle w:val="FirstParagraph"/>
      </w:pPr>
      <w:r>
        <w:t xml:space="preserve">Guidelines:</w:t>
      </w:r>
    </w:p>
    <w:p>
      <w:pPr>
        <w:pStyle w:val="Compact"/>
        <w:numPr>
          <w:ilvl w:val="0"/>
          <w:numId w:val="1020"/>
        </w:numPr>
      </w:pPr>
      <w:r>
        <w:t xml:space="preserve">Select only required columns</w:t>
      </w:r>
    </w:p>
    <w:p>
      <w:pPr>
        <w:pStyle w:val="Compact"/>
        <w:numPr>
          <w:ilvl w:val="0"/>
          <w:numId w:val="1020"/>
        </w:numPr>
      </w:pPr>
      <w:r>
        <w:t xml:space="preserve">Avoid SELECT *</w:t>
      </w:r>
    </w:p>
    <w:p>
      <w:pPr>
        <w:pStyle w:val="Compact"/>
        <w:numPr>
          <w:ilvl w:val="0"/>
          <w:numId w:val="1020"/>
        </w:numPr>
      </w:pPr>
      <w:r>
        <w:t xml:space="preserve">Use parameterized queries</w:t>
      </w:r>
    </w:p>
    <w:p>
      <w:pPr>
        <w:pStyle w:val="Compact"/>
        <w:numPr>
          <w:ilvl w:val="0"/>
          <w:numId w:val="1020"/>
        </w:numPr>
      </w:pPr>
      <w:r>
        <w:t xml:space="preserve">Prevent N+1 query patterns</w:t>
      </w:r>
    </w:p>
    <w:p>
      <w:pPr>
        <w:pStyle w:val="Compact"/>
        <w:numPr>
          <w:ilvl w:val="0"/>
          <w:numId w:val="1020"/>
        </w:numPr>
      </w:pPr>
      <w:r>
        <w:t xml:space="preserve">Paginate large result sets</w:t>
      </w:r>
    </w:p>
    <w:p>
      <w:pPr>
        <w:pStyle w:val="FirstParagraph"/>
      </w:pPr>
      <w:r>
        <w:t xml:space="preserve">Review query plans for expensive operations.</w:t>
      </w:r>
    </w:p>
    <w:p>
      <w:r>
        <w:pict>
          <v:rect style="width:0;height:1.5pt" o:hralign="center" o:hrstd="t" o:hr="t"/>
        </w:pict>
      </w:r>
    </w:p>
    <w:bookmarkEnd w:id="46"/>
    <w:bookmarkStart w:id="47" w:name="views-and-materialized-views"/>
    <w:p>
      <w:pPr>
        <w:pStyle w:val="Heading1"/>
      </w:pPr>
      <w:r>
        <w:t xml:space="preserve">25. Views and Materialized Views</w:t>
      </w:r>
    </w:p>
    <w:p>
      <w:pPr>
        <w:pStyle w:val="FirstParagraph"/>
      </w:pPr>
      <w:r>
        <w:t xml:space="preserve">Use views for:</w:t>
      </w:r>
    </w:p>
    <w:p>
      <w:pPr>
        <w:pStyle w:val="Compact"/>
        <w:numPr>
          <w:ilvl w:val="0"/>
          <w:numId w:val="1021"/>
        </w:numPr>
      </w:pPr>
      <w:r>
        <w:t xml:space="preserve">Reusable reporting logic</w:t>
      </w:r>
    </w:p>
    <w:p>
      <w:pPr>
        <w:pStyle w:val="Compact"/>
        <w:numPr>
          <w:ilvl w:val="0"/>
          <w:numId w:val="1021"/>
        </w:numPr>
      </w:pPr>
      <w:r>
        <w:t xml:space="preserve">Simplified read models</w:t>
      </w:r>
    </w:p>
    <w:p>
      <w:pPr>
        <w:pStyle w:val="FirstParagraph"/>
      </w:pPr>
      <w:r>
        <w:t xml:space="preserve">Use materialized views for:</w:t>
      </w:r>
    </w:p>
    <w:p>
      <w:pPr>
        <w:pStyle w:val="Compact"/>
        <w:numPr>
          <w:ilvl w:val="0"/>
          <w:numId w:val="1022"/>
        </w:numPr>
      </w:pPr>
      <w:r>
        <w:t xml:space="preserve">Expensive aggregations</w:t>
      </w:r>
    </w:p>
    <w:p>
      <w:pPr>
        <w:pStyle w:val="Compact"/>
        <w:numPr>
          <w:ilvl w:val="0"/>
          <w:numId w:val="1022"/>
        </w:numPr>
      </w:pPr>
      <w:r>
        <w:t xml:space="preserve">Dashboard metrics</w:t>
      </w:r>
    </w:p>
    <w:p>
      <w:pPr>
        <w:pStyle w:val="FirstParagraph"/>
      </w:pPr>
      <w:r>
        <w:t xml:space="preserve">Refresh strategies should be documented.</w:t>
      </w:r>
    </w:p>
    <w:p>
      <w:r>
        <w:pict>
          <v:rect style="width:0;height:1.5pt" o:hralign="center" o:hrstd="t" o:hr="t"/>
        </w:pict>
      </w:r>
    </w:p>
    <w:bookmarkEnd w:id="47"/>
    <w:bookmarkStart w:id="48" w:name="stored-procedures-policy"/>
    <w:p>
      <w:pPr>
        <w:pStyle w:val="Heading1"/>
      </w:pPr>
      <w:r>
        <w:t xml:space="preserve">26. Stored Procedures Policy</w:t>
      </w:r>
    </w:p>
    <w:p>
      <w:pPr>
        <w:pStyle w:val="FirstParagraph"/>
      </w:pPr>
      <w:r>
        <w:t xml:space="preserve">Business logic belongs in the application layer.</w:t>
      </w:r>
    </w:p>
    <w:p>
      <w:pPr>
        <w:pStyle w:val="BodyText"/>
      </w:pPr>
      <w:r>
        <w:t xml:space="preserve">Stored procedures may be used only when there is a demonstrated operational or performance requirement.</w:t>
      </w:r>
    </w:p>
    <w:p>
      <w:pPr>
        <w:pStyle w:val="BodyText"/>
      </w:pPr>
      <w:r>
        <w:t xml:space="preserve">Any stored procedure requires documentation and review.</w:t>
      </w:r>
    </w:p>
    <w:p>
      <w:r>
        <w:pict>
          <v:rect style="width:0;height:1.5pt" o:hralign="center" o:hrstd="t" o:hr="t"/>
        </w:pict>
      </w:r>
    </w:p>
    <w:bookmarkEnd w:id="48"/>
    <w:bookmarkStart w:id="49" w:name="backup-recovery"/>
    <w:p>
      <w:pPr>
        <w:pStyle w:val="Heading1"/>
      </w:pPr>
      <w:r>
        <w:t xml:space="preserve">27. Backup &amp; Recovery</w:t>
      </w:r>
    </w:p>
    <w:p>
      <w:pPr>
        <w:pStyle w:val="FirstParagraph"/>
      </w:pPr>
      <w:r>
        <w:t xml:space="preserve">Backup strategy should define:</w:t>
      </w:r>
    </w:p>
    <w:p>
      <w:pPr>
        <w:pStyle w:val="Compact"/>
        <w:numPr>
          <w:ilvl w:val="0"/>
          <w:numId w:val="1023"/>
        </w:numPr>
      </w:pPr>
      <w:r>
        <w:t xml:space="preserve">Full backups</w:t>
      </w:r>
    </w:p>
    <w:p>
      <w:pPr>
        <w:pStyle w:val="Compact"/>
        <w:numPr>
          <w:ilvl w:val="0"/>
          <w:numId w:val="1023"/>
        </w:numPr>
      </w:pPr>
      <w:r>
        <w:t xml:space="preserve">Incremental backups</w:t>
      </w:r>
    </w:p>
    <w:p>
      <w:pPr>
        <w:pStyle w:val="Compact"/>
        <w:numPr>
          <w:ilvl w:val="0"/>
          <w:numId w:val="1023"/>
        </w:numPr>
      </w:pPr>
      <w:r>
        <w:t xml:space="preserve">Retention period</w:t>
      </w:r>
    </w:p>
    <w:p>
      <w:pPr>
        <w:pStyle w:val="Compact"/>
        <w:numPr>
          <w:ilvl w:val="0"/>
          <w:numId w:val="1023"/>
        </w:numPr>
      </w:pPr>
      <w:r>
        <w:t xml:space="preserve">Encryption</w:t>
      </w:r>
    </w:p>
    <w:p>
      <w:pPr>
        <w:pStyle w:val="Compact"/>
        <w:numPr>
          <w:ilvl w:val="0"/>
          <w:numId w:val="1023"/>
        </w:numPr>
      </w:pPr>
      <w:r>
        <w:t xml:space="preserve">Recovery testing</w:t>
      </w:r>
    </w:p>
    <w:p>
      <w:pPr>
        <w:pStyle w:val="FirstParagraph"/>
      </w:pPr>
      <w:r>
        <w:t xml:space="preserve">Recovery procedures must be tested regularly.</w:t>
      </w:r>
    </w:p>
    <w:p>
      <w:pPr>
        <w:pStyle w:val="BodyText"/>
      </w:pPr>
      <w:r>
        <w:t xml:space="preserve">A backup that has never been restored is not a verified backup.</w:t>
      </w:r>
    </w:p>
    <w:p>
      <w:r>
        <w:pict>
          <v:rect style="width:0;height:1.5pt" o:hralign="center" o:hrstd="t" o:hr="t"/>
        </w:pict>
      </w:r>
    </w:p>
    <w:bookmarkEnd w:id="49"/>
    <w:bookmarkStart w:id="50" w:name="data-retention"/>
    <w:p>
      <w:pPr>
        <w:pStyle w:val="Heading1"/>
      </w:pPr>
      <w:r>
        <w:t xml:space="preserve">28. Data Retention</w:t>
      </w:r>
    </w:p>
    <w:p>
      <w:pPr>
        <w:pStyle w:val="FirstParagraph"/>
      </w:pPr>
      <w:r>
        <w:t xml:space="preserve">Define retention policies for:</w:t>
      </w:r>
    </w:p>
    <w:p>
      <w:pPr>
        <w:pStyle w:val="Compact"/>
        <w:numPr>
          <w:ilvl w:val="0"/>
          <w:numId w:val="1024"/>
        </w:numPr>
      </w:pPr>
      <w:r>
        <w:t xml:space="preserve">Audit logs</w:t>
      </w:r>
    </w:p>
    <w:p>
      <w:pPr>
        <w:pStyle w:val="Compact"/>
        <w:numPr>
          <w:ilvl w:val="0"/>
          <w:numId w:val="1024"/>
        </w:numPr>
      </w:pPr>
      <w:r>
        <w:t xml:space="preserve">AI job history</w:t>
      </w:r>
    </w:p>
    <w:p>
      <w:pPr>
        <w:pStyle w:val="Compact"/>
        <w:numPr>
          <w:ilvl w:val="0"/>
          <w:numId w:val="1024"/>
        </w:numPr>
      </w:pPr>
      <w:r>
        <w:t xml:space="preserve">Temporary uploads</w:t>
      </w:r>
    </w:p>
    <w:p>
      <w:pPr>
        <w:pStyle w:val="Compact"/>
        <w:numPr>
          <w:ilvl w:val="0"/>
          <w:numId w:val="1024"/>
        </w:numPr>
      </w:pPr>
      <w:r>
        <w:t xml:space="preserve">Notifications</w:t>
      </w:r>
    </w:p>
    <w:p>
      <w:pPr>
        <w:pStyle w:val="Compact"/>
        <w:numPr>
          <w:ilvl w:val="0"/>
          <w:numId w:val="1024"/>
        </w:numPr>
      </w:pPr>
      <w:r>
        <w:t xml:space="preserve">Reports</w:t>
      </w:r>
    </w:p>
    <w:p>
      <w:pPr>
        <w:pStyle w:val="FirstParagraph"/>
      </w:pPr>
      <w:r>
        <w:t xml:space="preserve">Retention should align with business and regulatory requirements.</w:t>
      </w:r>
    </w:p>
    <w:p>
      <w:pPr>
        <w:pStyle w:val="BodyText"/>
      </w:pPr>
      <w:r>
        <w:t xml:space="preserve">Deletion policies should be documented.</w:t>
      </w:r>
    </w:p>
    <w:p>
      <w:r>
        <w:pict>
          <v:rect style="width:0;height:1.5pt" o:hralign="center" o:hrstd="t" o:hr="t"/>
        </w:pict>
      </w:r>
    </w:p>
    <w:bookmarkEnd w:id="50"/>
    <w:bookmarkStart w:id="51" w:name="observability"/>
    <w:p>
      <w:pPr>
        <w:pStyle w:val="Heading1"/>
      </w:pPr>
      <w:r>
        <w:t xml:space="preserve">29. Observability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25"/>
        </w:numPr>
      </w:pPr>
      <w:r>
        <w:t xml:space="preserve">Query latency</w:t>
      </w:r>
    </w:p>
    <w:p>
      <w:pPr>
        <w:pStyle w:val="Compact"/>
        <w:numPr>
          <w:ilvl w:val="0"/>
          <w:numId w:val="1025"/>
        </w:numPr>
      </w:pPr>
      <w:r>
        <w:t xml:space="preserve">Deadlocks</w:t>
      </w:r>
    </w:p>
    <w:p>
      <w:pPr>
        <w:pStyle w:val="Compact"/>
        <w:numPr>
          <w:ilvl w:val="0"/>
          <w:numId w:val="1025"/>
        </w:numPr>
      </w:pPr>
      <w:r>
        <w:t xml:space="preserve">Connection counts</w:t>
      </w:r>
    </w:p>
    <w:p>
      <w:pPr>
        <w:pStyle w:val="Compact"/>
        <w:numPr>
          <w:ilvl w:val="0"/>
          <w:numId w:val="1025"/>
        </w:numPr>
      </w:pPr>
      <w:r>
        <w:t xml:space="preserve">Replication health</w:t>
      </w:r>
    </w:p>
    <w:p>
      <w:pPr>
        <w:pStyle w:val="Compact"/>
        <w:numPr>
          <w:ilvl w:val="0"/>
          <w:numId w:val="1025"/>
        </w:numPr>
      </w:pPr>
      <w:r>
        <w:t xml:space="preserve">Storage growth</w:t>
      </w:r>
    </w:p>
    <w:p>
      <w:pPr>
        <w:pStyle w:val="Compact"/>
        <w:numPr>
          <w:ilvl w:val="0"/>
          <w:numId w:val="1025"/>
        </w:numPr>
      </w:pPr>
      <w:r>
        <w:t xml:space="preserve">Backup status</w:t>
      </w:r>
    </w:p>
    <w:p>
      <w:pPr>
        <w:pStyle w:val="Compact"/>
        <w:numPr>
          <w:ilvl w:val="0"/>
          <w:numId w:val="1025"/>
        </w:numPr>
      </w:pPr>
      <w:r>
        <w:t xml:space="preserve">Failed migrations</w:t>
      </w:r>
    </w:p>
    <w:p>
      <w:pPr>
        <w:pStyle w:val="FirstParagraph"/>
      </w:pPr>
      <w:r>
        <w:t xml:space="preserve">Database metrics should integrate with the platform monitoring system.</w:t>
      </w:r>
    </w:p>
    <w:p>
      <w:r>
        <w:pict>
          <v:rect style="width:0;height:1.5pt" o:hralign="center" o:hrstd="t" o:hr="t"/>
        </w:pict>
      </w:r>
    </w:p>
    <w:bookmarkEnd w:id="51"/>
    <w:bookmarkStart w:id="52" w:name="review-checklist"/>
    <w:p>
      <w:pPr>
        <w:pStyle w:val="Heading1"/>
      </w:pPr>
      <w:r>
        <w:t xml:space="preserve">30. Review Checklist</w:t>
      </w:r>
    </w:p>
    <w:p>
      <w:pPr>
        <w:pStyle w:val="FirstParagraph"/>
      </w:pPr>
      <w:r>
        <w:t xml:space="preserve">Before approving schema changes, verify:</w:t>
      </w:r>
    </w:p>
    <w:p>
      <w:pPr>
        <w:pStyle w:val="Compact"/>
        <w:numPr>
          <w:ilvl w:val="0"/>
          <w:numId w:val="1026"/>
        </w:numPr>
      </w:pPr>
      <w:r>
        <w:t xml:space="preserve">Naming follows standards.</w:t>
      </w:r>
    </w:p>
    <w:p>
      <w:pPr>
        <w:pStyle w:val="Compact"/>
        <w:numPr>
          <w:ilvl w:val="0"/>
          <w:numId w:val="1026"/>
        </w:numPr>
      </w:pPr>
      <w:r>
        <w:t xml:space="preserve">Constraints are appropriate.</w:t>
      </w:r>
    </w:p>
    <w:p>
      <w:pPr>
        <w:pStyle w:val="Compact"/>
        <w:numPr>
          <w:ilvl w:val="0"/>
          <w:numId w:val="1026"/>
        </w:numPr>
      </w:pPr>
      <w:r>
        <w:t xml:space="preserve">Indexes are justified.</w:t>
      </w:r>
    </w:p>
    <w:p>
      <w:pPr>
        <w:pStyle w:val="Compact"/>
        <w:numPr>
          <w:ilvl w:val="0"/>
          <w:numId w:val="1026"/>
        </w:numPr>
      </w:pPr>
      <w:r>
        <w:t xml:space="preserve">Migrations are reversible.</w:t>
      </w:r>
    </w:p>
    <w:p>
      <w:pPr>
        <w:pStyle w:val="Compact"/>
        <w:numPr>
          <w:ilvl w:val="0"/>
          <w:numId w:val="1026"/>
        </w:numPr>
      </w:pPr>
      <w:r>
        <w:t xml:space="preserve">Transactions are correct.</w:t>
      </w:r>
    </w:p>
    <w:p>
      <w:pPr>
        <w:pStyle w:val="Compact"/>
        <w:numPr>
          <w:ilvl w:val="0"/>
          <w:numId w:val="1026"/>
        </w:numPr>
      </w:pPr>
      <w:r>
        <w:t xml:space="preserve">Security implications are reviewed.</w:t>
      </w:r>
    </w:p>
    <w:p>
      <w:pPr>
        <w:pStyle w:val="Compact"/>
        <w:numPr>
          <w:ilvl w:val="0"/>
          <w:numId w:val="1026"/>
        </w:numPr>
      </w:pPr>
      <w:r>
        <w:t xml:space="preserve">Performance impact has been considered.</w:t>
      </w:r>
    </w:p>
    <w:p>
      <w:pPr>
        <w:pStyle w:val="Compact"/>
        <w:numPr>
          <w:ilvl w:val="0"/>
          <w:numId w:val="1026"/>
        </w:numPr>
      </w:pPr>
      <w:r>
        <w:t xml:space="preserve">Documentation is updated.</w:t>
      </w:r>
    </w:p>
    <w:p>
      <w:r>
        <w:pict>
          <v:rect style="width:0;height:1.5pt" o:hralign="center" o:hrstd="t" o:hr="t"/>
        </w:pict>
      </w:r>
    </w:p>
    <w:bookmarkEnd w:id="52"/>
    <w:bookmarkStart w:id="53" w:name="common-anti-patterns"/>
    <w:p>
      <w:pPr>
        <w:pStyle w:val="Heading1"/>
      </w:pPr>
      <w:r>
        <w:t xml:space="preserve">31.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7"/>
        </w:numPr>
      </w:pPr>
      <w:r>
        <w:t xml:space="preserve">Generic table names</w:t>
      </w:r>
    </w:p>
    <w:p>
      <w:pPr>
        <w:pStyle w:val="Compact"/>
        <w:numPr>
          <w:ilvl w:val="0"/>
          <w:numId w:val="1027"/>
        </w:numPr>
      </w:pPr>
      <w:r>
        <w:t xml:space="preserve">Generic JSON columns replacing structured data without justification</w:t>
      </w:r>
    </w:p>
    <w:p>
      <w:pPr>
        <w:pStyle w:val="Compact"/>
        <w:numPr>
          <w:ilvl w:val="0"/>
          <w:numId w:val="1027"/>
        </w:numPr>
      </w:pPr>
      <w:r>
        <w:t xml:space="preserve">Missing foreign keys</w:t>
      </w:r>
    </w:p>
    <w:p>
      <w:pPr>
        <w:pStyle w:val="Compact"/>
        <w:numPr>
          <w:ilvl w:val="0"/>
          <w:numId w:val="1027"/>
        </w:numPr>
      </w:pPr>
      <w:r>
        <w:t xml:space="preserve">Missing indexes</w:t>
      </w:r>
    </w:p>
    <w:p>
      <w:pPr>
        <w:pStyle w:val="Compact"/>
        <w:numPr>
          <w:ilvl w:val="0"/>
          <w:numId w:val="1027"/>
        </w:numPr>
      </w:pPr>
      <w:r>
        <w:t xml:space="preserve">SELECT *</w:t>
      </w:r>
    </w:p>
    <w:p>
      <w:pPr>
        <w:pStyle w:val="Compact"/>
        <w:numPr>
          <w:ilvl w:val="0"/>
          <w:numId w:val="1027"/>
        </w:numPr>
      </w:pPr>
      <w:r>
        <w:t xml:space="preserve">Business logic inside triggers</w:t>
      </w:r>
    </w:p>
    <w:p>
      <w:pPr>
        <w:pStyle w:val="Compact"/>
        <w:numPr>
          <w:ilvl w:val="0"/>
          <w:numId w:val="1027"/>
        </w:numPr>
      </w:pPr>
      <w:r>
        <w:t xml:space="preserve">Hard deletes by default</w:t>
      </w:r>
    </w:p>
    <w:p>
      <w:pPr>
        <w:pStyle w:val="Compact"/>
        <w:numPr>
          <w:ilvl w:val="0"/>
          <w:numId w:val="1027"/>
        </w:numPr>
      </w:pPr>
      <w:r>
        <w:t xml:space="preserve">Editing historical migrations</w:t>
      </w:r>
    </w:p>
    <w:p>
      <w:pPr>
        <w:pStyle w:val="Compact"/>
        <w:numPr>
          <w:ilvl w:val="0"/>
          <w:numId w:val="1027"/>
        </w:numPr>
      </w:pPr>
      <w:r>
        <w:t xml:space="preserve">Using FLOAT for money</w:t>
      </w:r>
    </w:p>
    <w:p>
      <w:pPr>
        <w:pStyle w:val="Compact"/>
        <w:numPr>
          <w:ilvl w:val="0"/>
          <w:numId w:val="1027"/>
        </w:numPr>
      </w:pPr>
      <w:r>
        <w:t xml:space="preserve">Duplicate business data without documented purpose</w:t>
      </w:r>
    </w:p>
    <w:p>
      <w:r>
        <w:pict>
          <v:rect style="width:0;height:1.5pt" o:hralign="center" o:hrstd="t" o:hr="t"/>
        </w:pict>
      </w:r>
    </w:p>
    <w:bookmarkEnd w:id="53"/>
    <w:bookmarkStart w:id="54" w:name="definition-of-done"/>
    <w:p>
      <w:pPr>
        <w:pStyle w:val="Heading1"/>
      </w:pPr>
      <w:r>
        <w:t xml:space="preserve">32. Definition of Done</w:t>
      </w:r>
    </w:p>
    <w:p>
      <w:pPr>
        <w:pStyle w:val="FirstParagraph"/>
      </w:pPr>
      <w:r>
        <w:t xml:space="preserve">A database change is complete only when:</w:t>
      </w:r>
    </w:p>
    <w:p>
      <w:pPr>
        <w:pStyle w:val="Compact"/>
        <w:numPr>
          <w:ilvl w:val="0"/>
          <w:numId w:val="1028"/>
        </w:numPr>
      </w:pPr>
      <w:r>
        <w:t xml:space="preserve">Schema design is reviewed.</w:t>
      </w:r>
    </w:p>
    <w:p>
      <w:pPr>
        <w:pStyle w:val="Compact"/>
        <w:numPr>
          <w:ilvl w:val="0"/>
          <w:numId w:val="1028"/>
        </w:numPr>
      </w:pPr>
      <w:r>
        <w:t xml:space="preserve">Migration scripts are written and tested.</w:t>
      </w:r>
    </w:p>
    <w:p>
      <w:pPr>
        <w:pStyle w:val="Compact"/>
        <w:numPr>
          <w:ilvl w:val="0"/>
          <w:numId w:val="1028"/>
        </w:numPr>
      </w:pPr>
      <w:r>
        <w:t xml:space="preserve">Constraints are defined.</w:t>
      </w:r>
    </w:p>
    <w:p>
      <w:pPr>
        <w:pStyle w:val="Compact"/>
        <w:numPr>
          <w:ilvl w:val="0"/>
          <w:numId w:val="1028"/>
        </w:numPr>
      </w:pPr>
      <w:r>
        <w:t xml:space="preserve">Indexes are validated.</w:t>
      </w:r>
    </w:p>
    <w:p>
      <w:pPr>
        <w:pStyle w:val="Compact"/>
        <w:numPr>
          <w:ilvl w:val="0"/>
          <w:numId w:val="1028"/>
        </w:numPr>
      </w:pPr>
      <w:r>
        <w:t xml:space="preserve">Rollback is verified.</w:t>
      </w:r>
    </w:p>
    <w:p>
      <w:pPr>
        <w:pStyle w:val="Compact"/>
        <w:numPr>
          <w:ilvl w:val="0"/>
          <w:numId w:val="1028"/>
        </w:numPr>
      </w:pPr>
      <w:r>
        <w:t xml:space="preserve">Documentation is updated.</w:t>
      </w:r>
    </w:p>
    <w:p>
      <w:pPr>
        <w:pStyle w:val="Compact"/>
        <w:numPr>
          <w:ilvl w:val="0"/>
          <w:numId w:val="1028"/>
        </w:numPr>
      </w:pPr>
      <w:r>
        <w:t xml:space="preserve">Performance impact is assessed.</w:t>
      </w:r>
    </w:p>
    <w:p>
      <w:pPr>
        <w:pStyle w:val="Compact"/>
        <w:numPr>
          <w:ilvl w:val="0"/>
          <w:numId w:val="1028"/>
        </w:numPr>
      </w:pPr>
      <w:r>
        <w:t xml:space="preserve">Security review is complete.</w:t>
      </w:r>
    </w:p>
    <w:p>
      <w:pPr>
        <w:pStyle w:val="Compact"/>
        <w:numPr>
          <w:ilvl w:val="0"/>
          <w:numId w:val="1028"/>
        </w:numPr>
      </w:pPr>
      <w:r>
        <w:t xml:space="preserve">Automated tests pass.</w:t>
      </w:r>
    </w:p>
    <w:p>
      <w:r>
        <w:pict>
          <v:rect style="width:0;height:1.5pt" o:hralign="center" o:hrstd="t" o:hr="t"/>
        </w:pict>
      </w:r>
    </w:p>
    <w:bookmarkEnd w:id="54"/>
    <w:bookmarkStart w:id="55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database is the foundation of Investment OS.</w:t>
      </w:r>
    </w:p>
    <w:p>
      <w:pPr>
        <w:pStyle w:val="BodyText"/>
      </w:pPr>
      <w:r>
        <w:t xml:space="preserve">Every schema decision should prioritize integrity, clarity, and long-term maintainability.</w:t>
      </w:r>
    </w:p>
    <w:p>
      <w:pPr>
        <w:pStyle w:val="BodyText"/>
      </w:pPr>
      <w:r>
        <w:t xml:space="preserve">A well-designed database enables reliable business operations, scalable analytics, and future AI capabilities while minimizing operational risk.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2026-07-20T02:18:42Z</dcterms:created>
  <dcterms:modified xsi:type="dcterms:W3CDTF">2026-07-20T02:18:42Z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