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02434F" w14:textId="1AA795BB" w:rsidR="005940FF" w:rsidRDefault="005940FF" w:rsidP="00EC0B50">
      <w:pPr>
        <w:pStyle w:val="Heading3"/>
      </w:pPr>
      <w:r w:rsidRPr="005940FF">
        <w:t>oauth2 and okta auth are same</w:t>
      </w:r>
    </w:p>
    <w:p w14:paraId="323F3833" w14:textId="3422F3C0" w:rsidR="005940FF" w:rsidRDefault="008F0101">
      <w:r w:rsidRPr="008F0101">
        <w:t xml:space="preserve">In summary, while </w:t>
      </w:r>
      <w:r w:rsidRPr="004B3723">
        <w:rPr>
          <w:color w:val="FF0000"/>
        </w:rPr>
        <w:t>OAuth 2.0 is a protocol for authorization</w:t>
      </w:r>
      <w:r w:rsidRPr="008F0101">
        <w:t xml:space="preserve">, Okta is a service that implements </w:t>
      </w:r>
      <w:r w:rsidRPr="004B3723">
        <w:rPr>
          <w:highlight w:val="yellow"/>
        </w:rPr>
        <w:t>this protocol among other identity management functionalities</w:t>
      </w:r>
      <w:r w:rsidRPr="008F0101">
        <w:t xml:space="preserve">. You can use Okta as your </w:t>
      </w:r>
      <w:r w:rsidRPr="00A71AE1">
        <w:rPr>
          <w:highlight w:val="yellow"/>
        </w:rPr>
        <w:t>authorization server</w:t>
      </w:r>
      <w:r w:rsidRPr="008F0101">
        <w:t xml:space="preserve"> when implementing OAuth 2.0 in your applications, leveraging its features to simplify the authentication process.</w:t>
      </w:r>
    </w:p>
    <w:p w14:paraId="7738BE9D" w14:textId="748486E3" w:rsidR="008F0101" w:rsidRDefault="00EC0B50" w:rsidP="00EC0B50">
      <w:pPr>
        <w:pStyle w:val="Heading3"/>
      </w:pPr>
      <w:r w:rsidRPr="00EC0B50">
        <w:t>different authorization server of OAuth 2</w:t>
      </w:r>
    </w:p>
    <w:p w14:paraId="3F4D9546" w14:textId="77777777" w:rsidR="004470E4" w:rsidRPr="004470E4" w:rsidRDefault="004470E4" w:rsidP="004470E4">
      <w:r w:rsidRPr="004470E4">
        <w:t>OAuth 2.0 authorization servers help applications securely authenticate users and access protected resources by issuing tokens that can be used for access control. Here are some widely used OAuth 2.0 authorization servers:</w:t>
      </w:r>
    </w:p>
    <w:p w14:paraId="1E648396" w14:textId="77777777" w:rsidR="004470E4" w:rsidRPr="004470E4" w:rsidRDefault="004470E4" w:rsidP="004470E4">
      <w:pPr>
        <w:rPr>
          <w:b/>
          <w:bCs/>
        </w:rPr>
      </w:pPr>
      <w:r w:rsidRPr="004470E4">
        <w:rPr>
          <w:b/>
          <w:bCs/>
        </w:rPr>
        <w:t>1. Okta</w:t>
      </w:r>
    </w:p>
    <w:p w14:paraId="1118CD37" w14:textId="77777777" w:rsidR="004470E4" w:rsidRPr="004470E4" w:rsidRDefault="004470E4" w:rsidP="004470E4">
      <w:pPr>
        <w:numPr>
          <w:ilvl w:val="0"/>
          <w:numId w:val="4"/>
        </w:numPr>
      </w:pPr>
      <w:r w:rsidRPr="004470E4">
        <w:rPr>
          <w:b/>
          <w:bCs/>
        </w:rPr>
        <w:t>Overview</w:t>
      </w:r>
      <w:r w:rsidRPr="004470E4">
        <w:t>: Okta is an identity management service with robust OAuth 2.0 support, providing single sign-on (SSO), adaptive multi-factor authentication (MFA), and lifecycle management.</w:t>
      </w:r>
    </w:p>
    <w:p w14:paraId="7F856189" w14:textId="77777777" w:rsidR="004470E4" w:rsidRPr="004470E4" w:rsidRDefault="004470E4" w:rsidP="004470E4">
      <w:pPr>
        <w:numPr>
          <w:ilvl w:val="0"/>
          <w:numId w:val="4"/>
        </w:numPr>
      </w:pPr>
      <w:r w:rsidRPr="004470E4">
        <w:rPr>
          <w:b/>
          <w:bCs/>
        </w:rPr>
        <w:t>Features</w:t>
      </w:r>
      <w:r w:rsidRPr="004470E4">
        <w:t>: Supports OpenID Connect (OIDC), flexible role-based access control, and detailed analytics on login activity.</w:t>
      </w:r>
    </w:p>
    <w:p w14:paraId="3AFBCB91" w14:textId="77777777" w:rsidR="004470E4" w:rsidRPr="004470E4" w:rsidRDefault="004470E4" w:rsidP="004470E4">
      <w:pPr>
        <w:numPr>
          <w:ilvl w:val="0"/>
          <w:numId w:val="4"/>
        </w:numPr>
      </w:pPr>
      <w:r w:rsidRPr="004470E4">
        <w:rPr>
          <w:b/>
          <w:bCs/>
        </w:rPr>
        <w:t>Use Cases</w:t>
      </w:r>
      <w:r w:rsidRPr="004470E4">
        <w:t>: Widely used by organizations needing enterprise-level identity management with easy integration options for both web and mobile applications.</w:t>
      </w:r>
    </w:p>
    <w:p w14:paraId="68BD4AD2" w14:textId="77777777" w:rsidR="004470E4" w:rsidRPr="004470E4" w:rsidRDefault="004470E4" w:rsidP="004470E4">
      <w:pPr>
        <w:numPr>
          <w:ilvl w:val="0"/>
          <w:numId w:val="4"/>
        </w:numPr>
      </w:pPr>
      <w:r w:rsidRPr="004470E4">
        <w:rPr>
          <w:b/>
          <w:bCs/>
        </w:rPr>
        <w:t>Documentation</w:t>
      </w:r>
      <w:r w:rsidRPr="004470E4">
        <w:t>: Okta Documentation</w:t>
      </w:r>
    </w:p>
    <w:p w14:paraId="40EC4FA1" w14:textId="77777777" w:rsidR="004470E4" w:rsidRPr="004470E4" w:rsidRDefault="004470E4" w:rsidP="004470E4">
      <w:pPr>
        <w:rPr>
          <w:b/>
          <w:bCs/>
        </w:rPr>
      </w:pPr>
      <w:r w:rsidRPr="004470E4">
        <w:rPr>
          <w:b/>
          <w:bCs/>
        </w:rPr>
        <w:t>2. Auth0</w:t>
      </w:r>
    </w:p>
    <w:p w14:paraId="44B79833" w14:textId="77777777" w:rsidR="004470E4" w:rsidRPr="004470E4" w:rsidRDefault="004470E4" w:rsidP="004470E4">
      <w:pPr>
        <w:numPr>
          <w:ilvl w:val="0"/>
          <w:numId w:val="5"/>
        </w:numPr>
      </w:pPr>
      <w:r w:rsidRPr="004470E4">
        <w:rPr>
          <w:b/>
          <w:bCs/>
        </w:rPr>
        <w:t>Overview</w:t>
      </w:r>
      <w:r w:rsidRPr="004470E4">
        <w:t>: Auth0 is a popular identity platform that supports OAuth 2.0 and OpenID Connect, with an emphasis on ease of integration for developers.</w:t>
      </w:r>
    </w:p>
    <w:p w14:paraId="5256A5A8" w14:textId="77777777" w:rsidR="004470E4" w:rsidRPr="004470E4" w:rsidRDefault="004470E4" w:rsidP="004470E4">
      <w:pPr>
        <w:numPr>
          <w:ilvl w:val="0"/>
          <w:numId w:val="5"/>
        </w:numPr>
      </w:pPr>
      <w:r w:rsidRPr="004470E4">
        <w:rPr>
          <w:b/>
          <w:bCs/>
        </w:rPr>
        <w:t>Features</w:t>
      </w:r>
      <w:r w:rsidRPr="004470E4">
        <w:t>: Customizable login pages, social logins, multi-factor authentication, and APIs for machine-to-machine authorization.</w:t>
      </w:r>
    </w:p>
    <w:p w14:paraId="611E02A9" w14:textId="77777777" w:rsidR="004470E4" w:rsidRPr="004470E4" w:rsidRDefault="004470E4" w:rsidP="004470E4">
      <w:pPr>
        <w:numPr>
          <w:ilvl w:val="0"/>
          <w:numId w:val="5"/>
        </w:numPr>
      </w:pPr>
      <w:r w:rsidRPr="004470E4">
        <w:rPr>
          <w:b/>
          <w:bCs/>
        </w:rPr>
        <w:t>Use Cases</w:t>
      </w:r>
      <w:r w:rsidRPr="004470E4">
        <w:t>: Ideal for startups and enterprises alike due to its flexibility and developer-friendly SDKs.</w:t>
      </w:r>
    </w:p>
    <w:p w14:paraId="5758E50F" w14:textId="77777777" w:rsidR="004470E4" w:rsidRPr="004470E4" w:rsidRDefault="004470E4" w:rsidP="004470E4">
      <w:pPr>
        <w:numPr>
          <w:ilvl w:val="0"/>
          <w:numId w:val="5"/>
        </w:numPr>
      </w:pPr>
      <w:r w:rsidRPr="004470E4">
        <w:rPr>
          <w:b/>
          <w:bCs/>
        </w:rPr>
        <w:t>Documentation</w:t>
      </w:r>
      <w:r w:rsidRPr="004470E4">
        <w:t>: Auth0 Documentation</w:t>
      </w:r>
    </w:p>
    <w:p w14:paraId="08585E39" w14:textId="77777777" w:rsidR="004470E4" w:rsidRPr="004470E4" w:rsidRDefault="004470E4" w:rsidP="004470E4">
      <w:pPr>
        <w:rPr>
          <w:b/>
          <w:bCs/>
        </w:rPr>
      </w:pPr>
      <w:r w:rsidRPr="004470E4">
        <w:rPr>
          <w:b/>
          <w:bCs/>
        </w:rPr>
        <w:t>3. AWS Cognito</w:t>
      </w:r>
    </w:p>
    <w:p w14:paraId="41236827" w14:textId="77777777" w:rsidR="004470E4" w:rsidRPr="004470E4" w:rsidRDefault="004470E4" w:rsidP="004470E4">
      <w:pPr>
        <w:numPr>
          <w:ilvl w:val="0"/>
          <w:numId w:val="6"/>
        </w:numPr>
      </w:pPr>
      <w:r w:rsidRPr="004470E4">
        <w:rPr>
          <w:b/>
          <w:bCs/>
        </w:rPr>
        <w:t>Overview</w:t>
      </w:r>
      <w:r w:rsidRPr="004470E4">
        <w:t>: Amazon Cognito provides OAuth 2.0 support as part of its authentication services, especially useful for applications hosted on AWS.</w:t>
      </w:r>
    </w:p>
    <w:p w14:paraId="065F89E5" w14:textId="77777777" w:rsidR="004470E4" w:rsidRPr="004470E4" w:rsidRDefault="004470E4" w:rsidP="004470E4">
      <w:pPr>
        <w:numPr>
          <w:ilvl w:val="0"/>
          <w:numId w:val="6"/>
        </w:numPr>
      </w:pPr>
      <w:r w:rsidRPr="004470E4">
        <w:rPr>
          <w:b/>
          <w:bCs/>
        </w:rPr>
        <w:lastRenderedPageBreak/>
        <w:t>Features</w:t>
      </w:r>
      <w:r w:rsidRPr="004470E4">
        <w:t>: Allows federated identity with social providers, supports custom authentication flows, and integrates easily with AWS services.</w:t>
      </w:r>
    </w:p>
    <w:p w14:paraId="1A39D4FC" w14:textId="77777777" w:rsidR="004470E4" w:rsidRPr="004470E4" w:rsidRDefault="004470E4" w:rsidP="004470E4">
      <w:pPr>
        <w:numPr>
          <w:ilvl w:val="0"/>
          <w:numId w:val="6"/>
        </w:numPr>
      </w:pPr>
      <w:r w:rsidRPr="004470E4">
        <w:rPr>
          <w:b/>
          <w:bCs/>
        </w:rPr>
        <w:t>Use Cases</w:t>
      </w:r>
      <w:r w:rsidRPr="004470E4">
        <w:t>: Frequently used by applications built on AWS, providing a low-cost and scalable option with built-in identity management.</w:t>
      </w:r>
    </w:p>
    <w:p w14:paraId="37AC8344" w14:textId="77777777" w:rsidR="004470E4" w:rsidRPr="004470E4" w:rsidRDefault="004470E4" w:rsidP="004470E4">
      <w:pPr>
        <w:numPr>
          <w:ilvl w:val="0"/>
          <w:numId w:val="6"/>
        </w:numPr>
      </w:pPr>
      <w:r w:rsidRPr="004470E4">
        <w:rPr>
          <w:b/>
          <w:bCs/>
        </w:rPr>
        <w:t>Documentation</w:t>
      </w:r>
      <w:r w:rsidRPr="004470E4">
        <w:t xml:space="preserve">: </w:t>
      </w:r>
      <w:hyperlink r:id="rId5" w:tgtFrame="_new" w:history="1">
        <w:r w:rsidRPr="004470E4">
          <w:rPr>
            <w:rStyle w:val="Hyperlink"/>
          </w:rPr>
          <w:t>AWS Cognito Documentation</w:t>
        </w:r>
      </w:hyperlink>
    </w:p>
    <w:p w14:paraId="703498A0" w14:textId="77777777" w:rsidR="004470E4" w:rsidRPr="004470E4" w:rsidRDefault="004470E4" w:rsidP="004470E4">
      <w:pPr>
        <w:rPr>
          <w:b/>
          <w:bCs/>
        </w:rPr>
      </w:pPr>
      <w:r w:rsidRPr="004470E4">
        <w:rPr>
          <w:b/>
          <w:bCs/>
        </w:rPr>
        <w:t>4. Google Identity Platform</w:t>
      </w:r>
    </w:p>
    <w:p w14:paraId="2CD0128F" w14:textId="77777777" w:rsidR="004470E4" w:rsidRPr="004470E4" w:rsidRDefault="004470E4" w:rsidP="004470E4">
      <w:pPr>
        <w:numPr>
          <w:ilvl w:val="0"/>
          <w:numId w:val="7"/>
        </w:numPr>
      </w:pPr>
      <w:r w:rsidRPr="004470E4">
        <w:rPr>
          <w:b/>
          <w:bCs/>
        </w:rPr>
        <w:t>Overview</w:t>
      </w:r>
      <w:r w:rsidRPr="004470E4">
        <w:t>: Google Identity provides OAuth 2.0 support, primarily through Google Sign-In, and enables access to Google APIs with delegated permissions.</w:t>
      </w:r>
    </w:p>
    <w:p w14:paraId="4564C919" w14:textId="77777777" w:rsidR="004470E4" w:rsidRPr="004470E4" w:rsidRDefault="004470E4" w:rsidP="004470E4">
      <w:pPr>
        <w:numPr>
          <w:ilvl w:val="0"/>
          <w:numId w:val="7"/>
        </w:numPr>
      </w:pPr>
      <w:r w:rsidRPr="004470E4">
        <w:rPr>
          <w:b/>
          <w:bCs/>
        </w:rPr>
        <w:t>Features</w:t>
      </w:r>
      <w:r w:rsidRPr="004470E4">
        <w:t>: Supports secure login for Google accounts, MFA, and integration with Google APIs.</w:t>
      </w:r>
    </w:p>
    <w:p w14:paraId="4683930E" w14:textId="77777777" w:rsidR="004470E4" w:rsidRPr="004470E4" w:rsidRDefault="004470E4" w:rsidP="004470E4">
      <w:pPr>
        <w:numPr>
          <w:ilvl w:val="0"/>
          <w:numId w:val="7"/>
        </w:numPr>
      </w:pPr>
      <w:r w:rsidRPr="004470E4">
        <w:rPr>
          <w:b/>
          <w:bCs/>
        </w:rPr>
        <w:t>Use Cases</w:t>
      </w:r>
      <w:r w:rsidRPr="004470E4">
        <w:t>: Often chosen for applications requiring access to Google services or that need to integrate with Google Workspace.</w:t>
      </w:r>
    </w:p>
    <w:p w14:paraId="40AD6B29" w14:textId="77777777" w:rsidR="004470E4" w:rsidRPr="004470E4" w:rsidRDefault="004470E4" w:rsidP="004470E4">
      <w:pPr>
        <w:numPr>
          <w:ilvl w:val="0"/>
          <w:numId w:val="7"/>
        </w:numPr>
      </w:pPr>
      <w:r w:rsidRPr="004470E4">
        <w:rPr>
          <w:b/>
          <w:bCs/>
        </w:rPr>
        <w:t>Documentation</w:t>
      </w:r>
      <w:r w:rsidRPr="004470E4">
        <w:t>: Google Identity Platform Documentation</w:t>
      </w:r>
    </w:p>
    <w:p w14:paraId="57F4CD06" w14:textId="77777777" w:rsidR="004470E4" w:rsidRPr="004470E4" w:rsidRDefault="004470E4" w:rsidP="004470E4">
      <w:pPr>
        <w:rPr>
          <w:b/>
          <w:bCs/>
        </w:rPr>
      </w:pPr>
      <w:r w:rsidRPr="004470E4">
        <w:rPr>
          <w:b/>
          <w:bCs/>
        </w:rPr>
        <w:t>5. Azure Active Directory (Azure AD)</w:t>
      </w:r>
    </w:p>
    <w:p w14:paraId="656A43CE" w14:textId="77777777" w:rsidR="004470E4" w:rsidRPr="004470E4" w:rsidRDefault="004470E4" w:rsidP="004470E4">
      <w:pPr>
        <w:numPr>
          <w:ilvl w:val="0"/>
          <w:numId w:val="8"/>
        </w:numPr>
      </w:pPr>
      <w:r w:rsidRPr="004470E4">
        <w:rPr>
          <w:b/>
          <w:bCs/>
        </w:rPr>
        <w:t>Overview</w:t>
      </w:r>
      <w:r w:rsidRPr="004470E4">
        <w:t>: Microsoft’s Azure AD is a cloud-based identity platform with OAuth 2.0 support, often used in enterprise settings with Microsoft 365 and Azure integrations.</w:t>
      </w:r>
    </w:p>
    <w:p w14:paraId="38B833DE" w14:textId="77777777" w:rsidR="004470E4" w:rsidRPr="004470E4" w:rsidRDefault="004470E4" w:rsidP="004470E4">
      <w:pPr>
        <w:numPr>
          <w:ilvl w:val="0"/>
          <w:numId w:val="8"/>
        </w:numPr>
      </w:pPr>
      <w:r w:rsidRPr="004470E4">
        <w:rPr>
          <w:b/>
          <w:bCs/>
        </w:rPr>
        <w:t>Features</w:t>
      </w:r>
      <w:r w:rsidRPr="004470E4">
        <w:t>: Offers enterprise-grade security, conditional access policies, and seamless SSO for Microsoft products.</w:t>
      </w:r>
    </w:p>
    <w:p w14:paraId="0DAA930F" w14:textId="77777777" w:rsidR="004470E4" w:rsidRPr="004470E4" w:rsidRDefault="004470E4" w:rsidP="004470E4">
      <w:pPr>
        <w:numPr>
          <w:ilvl w:val="0"/>
          <w:numId w:val="8"/>
        </w:numPr>
      </w:pPr>
      <w:r w:rsidRPr="004470E4">
        <w:rPr>
          <w:b/>
          <w:bCs/>
        </w:rPr>
        <w:t>Use Cases</w:t>
      </w:r>
      <w:r w:rsidRPr="004470E4">
        <w:t>: Suitable for organizations heavily using Microsoft services and wanting to manage access to multiple Microsoft and third-party applications.</w:t>
      </w:r>
    </w:p>
    <w:p w14:paraId="63D85DE5" w14:textId="77777777" w:rsidR="004470E4" w:rsidRPr="004470E4" w:rsidRDefault="004470E4" w:rsidP="004470E4">
      <w:pPr>
        <w:numPr>
          <w:ilvl w:val="0"/>
          <w:numId w:val="8"/>
        </w:numPr>
      </w:pPr>
      <w:r w:rsidRPr="004470E4">
        <w:rPr>
          <w:b/>
          <w:bCs/>
        </w:rPr>
        <w:t>Documentation</w:t>
      </w:r>
      <w:r w:rsidRPr="004470E4">
        <w:t xml:space="preserve">: </w:t>
      </w:r>
      <w:hyperlink r:id="rId6" w:tgtFrame="_new" w:history="1">
        <w:r w:rsidRPr="004470E4">
          <w:rPr>
            <w:rStyle w:val="Hyperlink"/>
          </w:rPr>
          <w:t>Azure AD Documentation</w:t>
        </w:r>
      </w:hyperlink>
    </w:p>
    <w:p w14:paraId="7E9703E9" w14:textId="77777777" w:rsidR="004470E4" w:rsidRPr="004470E4" w:rsidRDefault="004470E4" w:rsidP="004470E4">
      <w:pPr>
        <w:rPr>
          <w:b/>
          <w:bCs/>
        </w:rPr>
      </w:pPr>
      <w:r w:rsidRPr="004470E4">
        <w:rPr>
          <w:b/>
          <w:bCs/>
        </w:rPr>
        <w:t xml:space="preserve">6. </w:t>
      </w:r>
      <w:proofErr w:type="spellStart"/>
      <w:r w:rsidRPr="004470E4">
        <w:rPr>
          <w:b/>
          <w:bCs/>
        </w:rPr>
        <w:t>Keycloak</w:t>
      </w:r>
      <w:proofErr w:type="spellEnd"/>
    </w:p>
    <w:p w14:paraId="027E0D2A" w14:textId="77777777" w:rsidR="004470E4" w:rsidRPr="004470E4" w:rsidRDefault="004470E4" w:rsidP="004470E4">
      <w:pPr>
        <w:numPr>
          <w:ilvl w:val="0"/>
          <w:numId w:val="9"/>
        </w:numPr>
      </w:pPr>
      <w:r w:rsidRPr="004470E4">
        <w:rPr>
          <w:b/>
          <w:bCs/>
        </w:rPr>
        <w:t>Overview</w:t>
      </w:r>
      <w:r w:rsidRPr="004470E4">
        <w:t xml:space="preserve">: </w:t>
      </w:r>
      <w:proofErr w:type="spellStart"/>
      <w:r w:rsidRPr="004470E4">
        <w:t>Keycloak</w:t>
      </w:r>
      <w:proofErr w:type="spellEnd"/>
      <w:r w:rsidRPr="004470E4">
        <w:t xml:space="preserve"> is an open-source identity and access management server that supports OAuth 2.0, OpenID Connect, and SAML.</w:t>
      </w:r>
    </w:p>
    <w:p w14:paraId="38CBC020" w14:textId="77777777" w:rsidR="004470E4" w:rsidRPr="004470E4" w:rsidRDefault="004470E4" w:rsidP="004470E4">
      <w:pPr>
        <w:numPr>
          <w:ilvl w:val="0"/>
          <w:numId w:val="9"/>
        </w:numPr>
      </w:pPr>
      <w:r w:rsidRPr="004470E4">
        <w:rPr>
          <w:b/>
          <w:bCs/>
        </w:rPr>
        <w:t>Features</w:t>
      </w:r>
      <w:r w:rsidRPr="004470E4">
        <w:t>: Offers SSO, social login, LDAP integration, and highly customizable authentication flows.</w:t>
      </w:r>
    </w:p>
    <w:p w14:paraId="7B966A7C" w14:textId="77777777" w:rsidR="004470E4" w:rsidRPr="004470E4" w:rsidRDefault="004470E4" w:rsidP="004470E4">
      <w:pPr>
        <w:numPr>
          <w:ilvl w:val="0"/>
          <w:numId w:val="9"/>
        </w:numPr>
      </w:pPr>
      <w:r w:rsidRPr="004470E4">
        <w:rPr>
          <w:b/>
          <w:bCs/>
        </w:rPr>
        <w:t>Use Cases</w:t>
      </w:r>
      <w:r w:rsidRPr="004470E4">
        <w:t>: Popular with organizations needing an on-premises or self-hosted solution with flexibility in customization.</w:t>
      </w:r>
    </w:p>
    <w:p w14:paraId="5480063D" w14:textId="77777777" w:rsidR="004470E4" w:rsidRPr="004470E4" w:rsidRDefault="004470E4" w:rsidP="004470E4">
      <w:pPr>
        <w:numPr>
          <w:ilvl w:val="0"/>
          <w:numId w:val="9"/>
        </w:numPr>
      </w:pPr>
      <w:r w:rsidRPr="004470E4">
        <w:rPr>
          <w:b/>
          <w:bCs/>
        </w:rPr>
        <w:t>Documentation</w:t>
      </w:r>
      <w:r w:rsidRPr="004470E4">
        <w:t xml:space="preserve">: </w:t>
      </w:r>
      <w:proofErr w:type="spellStart"/>
      <w:r w:rsidRPr="004470E4">
        <w:t>Keycloak</w:t>
      </w:r>
      <w:proofErr w:type="spellEnd"/>
      <w:r w:rsidRPr="004470E4">
        <w:t xml:space="preserve"> Documentation</w:t>
      </w:r>
    </w:p>
    <w:p w14:paraId="4E7C4147" w14:textId="77777777" w:rsidR="004470E4" w:rsidRPr="004470E4" w:rsidRDefault="004470E4" w:rsidP="004470E4">
      <w:pPr>
        <w:rPr>
          <w:b/>
          <w:bCs/>
        </w:rPr>
      </w:pPr>
      <w:r w:rsidRPr="004470E4">
        <w:rPr>
          <w:b/>
          <w:bCs/>
        </w:rPr>
        <w:lastRenderedPageBreak/>
        <w:t>7. Ping Identity</w:t>
      </w:r>
    </w:p>
    <w:p w14:paraId="0FE128F2" w14:textId="77777777" w:rsidR="004470E4" w:rsidRPr="004470E4" w:rsidRDefault="004470E4" w:rsidP="004470E4">
      <w:pPr>
        <w:numPr>
          <w:ilvl w:val="0"/>
          <w:numId w:val="10"/>
        </w:numPr>
      </w:pPr>
      <w:r w:rsidRPr="004470E4">
        <w:rPr>
          <w:b/>
          <w:bCs/>
        </w:rPr>
        <w:t>Overview</w:t>
      </w:r>
      <w:r w:rsidRPr="004470E4">
        <w:t>: Ping Identity provides an enterprise-grade identity solution with OAuth 2.0 and OpenID Connect support, focusing on secure and scalable access management.</w:t>
      </w:r>
    </w:p>
    <w:p w14:paraId="4BEC91D2" w14:textId="77777777" w:rsidR="004470E4" w:rsidRPr="004470E4" w:rsidRDefault="004470E4" w:rsidP="004470E4">
      <w:pPr>
        <w:numPr>
          <w:ilvl w:val="0"/>
          <w:numId w:val="10"/>
        </w:numPr>
      </w:pPr>
      <w:r w:rsidRPr="004470E4">
        <w:rPr>
          <w:b/>
          <w:bCs/>
        </w:rPr>
        <w:t>Features</w:t>
      </w:r>
      <w:r w:rsidRPr="004470E4">
        <w:t>: Supports MFA, risk-based access policies, and advanced access control.</w:t>
      </w:r>
    </w:p>
    <w:p w14:paraId="4DA3112F" w14:textId="77777777" w:rsidR="004470E4" w:rsidRPr="004470E4" w:rsidRDefault="004470E4" w:rsidP="004470E4">
      <w:pPr>
        <w:numPr>
          <w:ilvl w:val="0"/>
          <w:numId w:val="10"/>
        </w:numPr>
      </w:pPr>
      <w:r w:rsidRPr="004470E4">
        <w:rPr>
          <w:b/>
          <w:bCs/>
        </w:rPr>
        <w:t>Use Cases</w:t>
      </w:r>
      <w:r w:rsidRPr="004470E4">
        <w:t>: Commonly used by large enterprises for secure access across cloud and on-premise environments.</w:t>
      </w:r>
    </w:p>
    <w:p w14:paraId="03D7277F" w14:textId="77777777" w:rsidR="004470E4" w:rsidRPr="004470E4" w:rsidRDefault="004470E4" w:rsidP="004470E4">
      <w:pPr>
        <w:numPr>
          <w:ilvl w:val="0"/>
          <w:numId w:val="10"/>
        </w:numPr>
      </w:pPr>
      <w:r w:rsidRPr="004470E4">
        <w:rPr>
          <w:b/>
          <w:bCs/>
        </w:rPr>
        <w:t>Documentation</w:t>
      </w:r>
      <w:r w:rsidRPr="004470E4">
        <w:t>: Ping Identity Documentation</w:t>
      </w:r>
    </w:p>
    <w:p w14:paraId="7012EA6E" w14:textId="77777777" w:rsidR="004470E4" w:rsidRPr="004470E4" w:rsidRDefault="004470E4" w:rsidP="004470E4">
      <w:pPr>
        <w:rPr>
          <w:b/>
          <w:bCs/>
        </w:rPr>
      </w:pPr>
      <w:r w:rsidRPr="004470E4">
        <w:rPr>
          <w:b/>
          <w:bCs/>
        </w:rPr>
        <w:t>Choosing the Right OAuth 2.0 Server</w:t>
      </w:r>
    </w:p>
    <w:p w14:paraId="20B8801D" w14:textId="77777777" w:rsidR="004470E4" w:rsidRPr="004470E4" w:rsidRDefault="004470E4" w:rsidP="004470E4">
      <w:r w:rsidRPr="004470E4">
        <w:t>The best authorization server depends on your application requirements, deployment preferences, and budget. For instance:</w:t>
      </w:r>
    </w:p>
    <w:p w14:paraId="61179FA4" w14:textId="77777777" w:rsidR="004470E4" w:rsidRPr="004470E4" w:rsidRDefault="004470E4" w:rsidP="004470E4">
      <w:pPr>
        <w:numPr>
          <w:ilvl w:val="0"/>
          <w:numId w:val="11"/>
        </w:numPr>
      </w:pPr>
      <w:r w:rsidRPr="004470E4">
        <w:rPr>
          <w:b/>
          <w:bCs/>
        </w:rPr>
        <w:t>Small to Medium Enterprises</w:t>
      </w:r>
      <w:r w:rsidRPr="004470E4">
        <w:t xml:space="preserve"> may prefer Auth0 or AWS Cognito for ease of integration and scalability.</w:t>
      </w:r>
    </w:p>
    <w:p w14:paraId="62543EE0" w14:textId="77777777" w:rsidR="004470E4" w:rsidRPr="004470E4" w:rsidRDefault="004470E4" w:rsidP="004470E4">
      <w:pPr>
        <w:numPr>
          <w:ilvl w:val="0"/>
          <w:numId w:val="11"/>
        </w:numPr>
      </w:pPr>
      <w:r w:rsidRPr="004470E4">
        <w:rPr>
          <w:b/>
          <w:bCs/>
        </w:rPr>
        <w:t>Enterprises</w:t>
      </w:r>
      <w:r w:rsidRPr="004470E4">
        <w:t xml:space="preserve"> often choose Okta, Ping Identity, or Azure AD due to their focus on robust security and compliance.</w:t>
      </w:r>
    </w:p>
    <w:p w14:paraId="54FD1195" w14:textId="77777777" w:rsidR="004470E4" w:rsidRPr="004470E4" w:rsidRDefault="004470E4" w:rsidP="004470E4">
      <w:pPr>
        <w:numPr>
          <w:ilvl w:val="0"/>
          <w:numId w:val="11"/>
        </w:numPr>
      </w:pPr>
      <w:r w:rsidRPr="004470E4">
        <w:rPr>
          <w:b/>
          <w:bCs/>
        </w:rPr>
        <w:t>Self-Hosted Requirements</w:t>
      </w:r>
      <w:r w:rsidRPr="004470E4">
        <w:t xml:space="preserve"> are well suited to </w:t>
      </w:r>
      <w:proofErr w:type="spellStart"/>
      <w:r w:rsidRPr="004470E4">
        <w:t>Keycloak</w:t>
      </w:r>
      <w:proofErr w:type="spellEnd"/>
      <w:r w:rsidRPr="004470E4">
        <w:t>, which provides flexibility and control over data and customization.</w:t>
      </w:r>
    </w:p>
    <w:p w14:paraId="0B9864C9" w14:textId="77777777" w:rsidR="004470E4" w:rsidRPr="004470E4" w:rsidRDefault="004470E4" w:rsidP="004470E4">
      <w:r w:rsidRPr="004470E4">
        <w:t>For more information, refer to the official documentation of each provider listed above to see which one aligns best with your specific needs and integration requirements.</w:t>
      </w:r>
    </w:p>
    <w:p w14:paraId="3D88CE82" w14:textId="77777777" w:rsidR="00550FC6" w:rsidRPr="00550FC6" w:rsidRDefault="00550FC6" w:rsidP="00550FC6"/>
    <w:p w14:paraId="11D7FFE8" w14:textId="2235CC34" w:rsidR="00FB22B1" w:rsidRDefault="00044A91" w:rsidP="0089629C">
      <w:pPr>
        <w:pStyle w:val="Heading3"/>
      </w:pPr>
      <w:r>
        <w:lastRenderedPageBreak/>
        <w:t xml:space="preserve">Ergo UI </w:t>
      </w:r>
      <w:r w:rsidR="0089629C">
        <w:t>– This will be based on user id and password</w:t>
      </w:r>
    </w:p>
    <w:p w14:paraId="1570937B" w14:textId="3CC02113" w:rsidR="00044A91" w:rsidRDefault="00044A91">
      <w:r>
        <w:rPr>
          <w:noProof/>
        </w:rPr>
        <w:drawing>
          <wp:inline distT="0" distB="0" distL="0" distR="0" wp14:anchorId="31C1AD0C" wp14:editId="797BC020">
            <wp:extent cx="5943600" cy="4544695"/>
            <wp:effectExtent l="0" t="0" r="0" b="8255"/>
            <wp:docPr id="83278807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788070" name="Picture 1" descr="A screenshot of a computer program&#10;&#10;Description automatically generated"/>
                    <pic:cNvPicPr/>
                  </pic:nvPicPr>
                  <pic:blipFill>
                    <a:blip r:embed="rId7"/>
                    <a:stretch>
                      <a:fillRect/>
                    </a:stretch>
                  </pic:blipFill>
                  <pic:spPr>
                    <a:xfrm>
                      <a:off x="0" y="0"/>
                      <a:ext cx="5943600" cy="4544695"/>
                    </a:xfrm>
                    <a:prstGeom prst="rect">
                      <a:avLst/>
                    </a:prstGeom>
                  </pic:spPr>
                </pic:pic>
              </a:graphicData>
            </a:graphic>
          </wp:inline>
        </w:drawing>
      </w:r>
    </w:p>
    <w:p w14:paraId="3AE746EB" w14:textId="77777777" w:rsidR="00CD3A07" w:rsidRDefault="00CD3A07"/>
    <w:p w14:paraId="26F09BC8" w14:textId="68E4BFB5" w:rsidR="000E264A" w:rsidRDefault="00241ADB">
      <w:r>
        <w:rPr>
          <w:noProof/>
        </w:rPr>
        <w:lastRenderedPageBreak/>
        <w:drawing>
          <wp:inline distT="0" distB="0" distL="0" distR="0" wp14:anchorId="2A9B802F" wp14:editId="3457885A">
            <wp:extent cx="5943600" cy="3583305"/>
            <wp:effectExtent l="0" t="0" r="0" b="0"/>
            <wp:docPr id="3655358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53585" name="Picture 1" descr="A screenshot of a computer&#10;&#10;Description automatically generated"/>
                    <pic:cNvPicPr/>
                  </pic:nvPicPr>
                  <pic:blipFill>
                    <a:blip r:embed="rId8"/>
                    <a:stretch>
                      <a:fillRect/>
                    </a:stretch>
                  </pic:blipFill>
                  <pic:spPr>
                    <a:xfrm>
                      <a:off x="0" y="0"/>
                      <a:ext cx="5943600" cy="3583305"/>
                    </a:xfrm>
                    <a:prstGeom prst="rect">
                      <a:avLst/>
                    </a:prstGeom>
                  </pic:spPr>
                </pic:pic>
              </a:graphicData>
            </a:graphic>
          </wp:inline>
        </w:drawing>
      </w:r>
    </w:p>
    <w:p w14:paraId="2AB31C75" w14:textId="77777777" w:rsidR="00241ADB" w:rsidRDefault="00241ADB"/>
    <w:p w14:paraId="7925F8C6" w14:textId="3A867C41" w:rsidR="00D116CE" w:rsidRDefault="00D116CE">
      <w:r>
        <w:t>Employee detail</w:t>
      </w:r>
    </w:p>
    <w:p w14:paraId="0B84C5F9" w14:textId="119B5951" w:rsidR="00D116CE" w:rsidRDefault="00D116CE">
      <w:r>
        <w:rPr>
          <w:noProof/>
        </w:rPr>
        <w:drawing>
          <wp:inline distT="0" distB="0" distL="0" distR="0" wp14:anchorId="0FBE3BA4" wp14:editId="7A8D2049">
            <wp:extent cx="5943600" cy="2901950"/>
            <wp:effectExtent l="0" t="0" r="0" b="0"/>
            <wp:docPr id="145925798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9257984" name="Picture 1" descr="A screenshot of a computer&#10;&#10;Description automatically generated"/>
                    <pic:cNvPicPr/>
                  </pic:nvPicPr>
                  <pic:blipFill>
                    <a:blip r:embed="rId9"/>
                    <a:stretch>
                      <a:fillRect/>
                    </a:stretch>
                  </pic:blipFill>
                  <pic:spPr>
                    <a:xfrm>
                      <a:off x="0" y="0"/>
                      <a:ext cx="5943600" cy="2901950"/>
                    </a:xfrm>
                    <a:prstGeom prst="rect">
                      <a:avLst/>
                    </a:prstGeom>
                  </pic:spPr>
                </pic:pic>
              </a:graphicData>
            </a:graphic>
          </wp:inline>
        </w:drawing>
      </w:r>
    </w:p>
    <w:p w14:paraId="1A821C45" w14:textId="77777777" w:rsidR="002577FB" w:rsidRDefault="002577FB"/>
    <w:p w14:paraId="509EDC71" w14:textId="2B724AD4" w:rsidR="00044A91" w:rsidRDefault="005C1464">
      <w:r>
        <w:t xml:space="preserve">How to get token </w:t>
      </w:r>
      <w:r w:rsidR="007B2C16">
        <w:t>for</w:t>
      </w:r>
      <w:r w:rsidR="001C56FF">
        <w:t xml:space="preserve"> E</w:t>
      </w:r>
      <w:r w:rsidR="00157A8F">
        <w:t xml:space="preserve">rgo svc </w:t>
      </w:r>
      <w:r w:rsidR="001C56FF">
        <w:t>from UI</w:t>
      </w:r>
    </w:p>
    <w:p w14:paraId="59A8486F" w14:textId="2E5147C7" w:rsidR="00157A8F" w:rsidRDefault="00157A8F">
      <w:r>
        <w:rPr>
          <w:noProof/>
        </w:rPr>
        <w:lastRenderedPageBreak/>
        <w:drawing>
          <wp:inline distT="0" distB="0" distL="0" distR="0" wp14:anchorId="7F3B58A2" wp14:editId="672AC93E">
            <wp:extent cx="5943600" cy="4248785"/>
            <wp:effectExtent l="0" t="0" r="0" b="0"/>
            <wp:docPr id="182653571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535711" name="Picture 1" descr="A screenshot of a computer&#10;&#10;Description automatically generated"/>
                    <pic:cNvPicPr/>
                  </pic:nvPicPr>
                  <pic:blipFill>
                    <a:blip r:embed="rId10"/>
                    <a:stretch>
                      <a:fillRect/>
                    </a:stretch>
                  </pic:blipFill>
                  <pic:spPr>
                    <a:xfrm>
                      <a:off x="0" y="0"/>
                      <a:ext cx="5943600" cy="4248785"/>
                    </a:xfrm>
                    <a:prstGeom prst="rect">
                      <a:avLst/>
                    </a:prstGeom>
                  </pic:spPr>
                </pic:pic>
              </a:graphicData>
            </a:graphic>
          </wp:inline>
        </w:drawing>
      </w:r>
    </w:p>
    <w:p w14:paraId="70CE3466" w14:textId="77777777" w:rsidR="006B2F6D" w:rsidRDefault="006B2F6D"/>
    <w:p w14:paraId="3E4233F8" w14:textId="77777777" w:rsidR="006B2F6D" w:rsidRDefault="006B2F6D">
      <w:pPr>
        <w:pBdr>
          <w:bottom w:val="single" w:sz="6" w:space="1" w:color="auto"/>
        </w:pBdr>
      </w:pPr>
    </w:p>
    <w:p w14:paraId="17573412" w14:textId="7CDB2607" w:rsidR="002C2869" w:rsidRDefault="002C2869">
      <w:r>
        <w:t>How ergo svc is secure</w:t>
      </w:r>
    </w:p>
    <w:p w14:paraId="2F7A3212" w14:textId="79453C0F" w:rsidR="002C2869" w:rsidRDefault="002C2869"/>
    <w:p w14:paraId="684D675A" w14:textId="77777777" w:rsidR="00F14D09" w:rsidRDefault="00F14D09"/>
    <w:p w14:paraId="5DA7489D" w14:textId="4E3E3210" w:rsidR="00DA239D" w:rsidRDefault="00DA239D"/>
    <w:p w14:paraId="443DFD48" w14:textId="22F7BC48" w:rsidR="00F14D09" w:rsidRDefault="00F14D09" w:rsidP="00B07770">
      <w:pPr>
        <w:pStyle w:val="Heading3"/>
      </w:pPr>
      <w:r w:rsidRPr="00F14D09">
        <w:t>spring.security.oauth2.resource-server.jwk-set-uri</w:t>
      </w:r>
    </w:p>
    <w:p w14:paraId="23278052" w14:textId="77777777" w:rsidR="008143D2" w:rsidRDefault="008143D2"/>
    <w:p w14:paraId="5749A866" w14:textId="77777777" w:rsidR="00843232" w:rsidRPr="00843232" w:rsidRDefault="00843232" w:rsidP="00843232">
      <w:r w:rsidRPr="00843232">
        <w:t>The spring.security.oauth2.resource-server.jwk-set-uri property in Spring Security is used to specify the URI where the JSON Web Key Set (JWKS) can be found. This is particularly useful for configuring a resource server that needs to validate JWTs (JSON Web Tokens) issued by an authorization server.</w:t>
      </w:r>
    </w:p>
    <w:p w14:paraId="3FCE2DE4" w14:textId="77777777" w:rsidR="00843232" w:rsidRPr="00843232" w:rsidRDefault="00843232" w:rsidP="00843232">
      <w:r w:rsidRPr="00843232">
        <w:t xml:space="preserve">Here’s how you can configure it in your </w:t>
      </w:r>
      <w:proofErr w:type="spellStart"/>
      <w:r w:rsidRPr="00843232">
        <w:t>application.yml</w:t>
      </w:r>
      <w:proofErr w:type="spellEnd"/>
      <w:r w:rsidRPr="00843232">
        <w:t xml:space="preserve"> or </w:t>
      </w:r>
      <w:proofErr w:type="spellStart"/>
      <w:r w:rsidRPr="00843232">
        <w:t>application.properties</w:t>
      </w:r>
      <w:proofErr w:type="spellEnd"/>
      <w:r w:rsidRPr="00843232">
        <w:t xml:space="preserve"> file:</w:t>
      </w:r>
    </w:p>
    <w:p w14:paraId="0816D758" w14:textId="77777777" w:rsidR="00F14D09" w:rsidRDefault="00F14D09"/>
    <w:p w14:paraId="7BCFA8BF" w14:textId="77777777" w:rsidR="00843232" w:rsidRDefault="00843232"/>
    <w:p w14:paraId="5D296E73" w14:textId="43136F0C" w:rsidR="006B32D3" w:rsidRDefault="0090507B">
      <w:r>
        <w:rPr>
          <w:noProof/>
        </w:rPr>
        <w:drawing>
          <wp:inline distT="0" distB="0" distL="0" distR="0" wp14:anchorId="5B97F407" wp14:editId="4B3039E0">
            <wp:extent cx="5943600" cy="5273675"/>
            <wp:effectExtent l="0" t="0" r="0" b="3175"/>
            <wp:docPr id="212133635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336356" name="Picture 1" descr="A screenshot of a computer&#10;&#10;Description automatically generated"/>
                    <pic:cNvPicPr/>
                  </pic:nvPicPr>
                  <pic:blipFill>
                    <a:blip r:embed="rId11"/>
                    <a:stretch>
                      <a:fillRect/>
                    </a:stretch>
                  </pic:blipFill>
                  <pic:spPr>
                    <a:xfrm>
                      <a:off x="0" y="0"/>
                      <a:ext cx="5943600" cy="5273675"/>
                    </a:xfrm>
                    <a:prstGeom prst="rect">
                      <a:avLst/>
                    </a:prstGeom>
                  </pic:spPr>
                </pic:pic>
              </a:graphicData>
            </a:graphic>
          </wp:inline>
        </w:drawing>
      </w:r>
    </w:p>
    <w:p w14:paraId="141B515F" w14:textId="77777777" w:rsidR="00926F7B" w:rsidRDefault="00926F7B"/>
    <w:p w14:paraId="74EEE265" w14:textId="77777777" w:rsidR="007B168D" w:rsidRPr="007B168D" w:rsidRDefault="007B168D" w:rsidP="007B168D">
      <w:pPr>
        <w:rPr>
          <w:b/>
          <w:bCs/>
        </w:rPr>
      </w:pPr>
      <w:r w:rsidRPr="007B168D">
        <w:rPr>
          <w:b/>
          <w:bCs/>
        </w:rPr>
        <w:t>Explanation:</w:t>
      </w:r>
    </w:p>
    <w:p w14:paraId="0B70206D" w14:textId="77777777" w:rsidR="007B168D" w:rsidRPr="007B168D" w:rsidRDefault="007B168D" w:rsidP="007B168D">
      <w:pPr>
        <w:numPr>
          <w:ilvl w:val="0"/>
          <w:numId w:val="1"/>
        </w:numPr>
      </w:pPr>
      <w:proofErr w:type="spellStart"/>
      <w:r w:rsidRPr="007B168D">
        <w:rPr>
          <w:b/>
          <w:bCs/>
        </w:rPr>
        <w:t>jwk</w:t>
      </w:r>
      <w:proofErr w:type="spellEnd"/>
      <w:r w:rsidRPr="007B168D">
        <w:rPr>
          <w:b/>
          <w:bCs/>
        </w:rPr>
        <w:t>-set-</w:t>
      </w:r>
      <w:proofErr w:type="spellStart"/>
      <w:r w:rsidRPr="007B168D">
        <w:rPr>
          <w:b/>
          <w:bCs/>
        </w:rPr>
        <w:t>uri</w:t>
      </w:r>
      <w:proofErr w:type="spellEnd"/>
      <w:r w:rsidRPr="007B168D">
        <w:t>: This should point to the location of the JWKS, which is a JSON document containing public keys that can be used to verify the signature of the JWTs. The JWKS is typically provided by the authorization server and may be found at a well-known URL.</w:t>
      </w:r>
    </w:p>
    <w:p w14:paraId="6798A014" w14:textId="77777777" w:rsidR="007B168D" w:rsidRPr="007B168D" w:rsidRDefault="007B168D" w:rsidP="007B168D">
      <w:pPr>
        <w:rPr>
          <w:b/>
          <w:bCs/>
        </w:rPr>
      </w:pPr>
      <w:r w:rsidRPr="007B168D">
        <w:rPr>
          <w:b/>
          <w:bCs/>
        </w:rPr>
        <w:t>Usage:</w:t>
      </w:r>
    </w:p>
    <w:p w14:paraId="65421F17" w14:textId="77777777" w:rsidR="007B168D" w:rsidRPr="007B168D" w:rsidRDefault="007B168D" w:rsidP="007B168D">
      <w:pPr>
        <w:numPr>
          <w:ilvl w:val="0"/>
          <w:numId w:val="2"/>
        </w:numPr>
      </w:pPr>
      <w:r w:rsidRPr="007B168D">
        <w:rPr>
          <w:b/>
          <w:bCs/>
        </w:rPr>
        <w:lastRenderedPageBreak/>
        <w:t>Set Up Resource Server</w:t>
      </w:r>
      <w:r w:rsidRPr="007B168D">
        <w:t>: When you configure a Spring application as a resource server, this property allows it to automatically fetch the public keys needed to validate incoming JWTs.</w:t>
      </w:r>
    </w:p>
    <w:p w14:paraId="34AFB0EA" w14:textId="77777777" w:rsidR="007B168D" w:rsidRPr="007B168D" w:rsidRDefault="007B168D" w:rsidP="007B168D">
      <w:pPr>
        <w:numPr>
          <w:ilvl w:val="0"/>
          <w:numId w:val="2"/>
        </w:numPr>
      </w:pPr>
      <w:r w:rsidRPr="007B168D">
        <w:rPr>
          <w:b/>
          <w:bCs/>
        </w:rPr>
        <w:t>Security Configuration</w:t>
      </w:r>
      <w:r w:rsidRPr="007B168D">
        <w:t>: Ensure your security configuration class is set up to enable resource server capabilities.</w:t>
      </w:r>
    </w:p>
    <w:p w14:paraId="5322C8A3" w14:textId="77777777" w:rsidR="007B168D" w:rsidRPr="007B168D" w:rsidRDefault="007B168D" w:rsidP="007B168D">
      <w:pPr>
        <w:rPr>
          <w:b/>
          <w:bCs/>
        </w:rPr>
      </w:pPr>
      <w:r w:rsidRPr="007B168D">
        <w:rPr>
          <w:b/>
          <w:bCs/>
        </w:rPr>
        <w:t>Example Security Configuration</w:t>
      </w:r>
    </w:p>
    <w:p w14:paraId="538C5EEC" w14:textId="701E14A4" w:rsidR="00926F7B" w:rsidRDefault="00253EE8">
      <w:r>
        <w:rPr>
          <w:noProof/>
        </w:rPr>
        <w:drawing>
          <wp:inline distT="0" distB="0" distL="0" distR="0" wp14:anchorId="4D0AC7E5" wp14:editId="15DB8577">
            <wp:extent cx="5943600" cy="4335145"/>
            <wp:effectExtent l="0" t="0" r="0" b="8255"/>
            <wp:docPr id="82842008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420089" name="Picture 1" descr="A screenshot of a computer&#10;&#10;Description automatically generated"/>
                    <pic:cNvPicPr/>
                  </pic:nvPicPr>
                  <pic:blipFill>
                    <a:blip r:embed="rId12"/>
                    <a:stretch>
                      <a:fillRect/>
                    </a:stretch>
                  </pic:blipFill>
                  <pic:spPr>
                    <a:xfrm>
                      <a:off x="0" y="0"/>
                      <a:ext cx="5943600" cy="4335145"/>
                    </a:xfrm>
                    <a:prstGeom prst="rect">
                      <a:avLst/>
                    </a:prstGeom>
                  </pic:spPr>
                </pic:pic>
              </a:graphicData>
            </a:graphic>
          </wp:inline>
        </w:drawing>
      </w:r>
    </w:p>
    <w:p w14:paraId="7742F526" w14:textId="77777777" w:rsidR="00253EE8" w:rsidRDefault="00253EE8"/>
    <w:p w14:paraId="150278B7" w14:textId="77777777" w:rsidR="001D592E" w:rsidRPr="001D592E" w:rsidRDefault="001D592E" w:rsidP="001D592E">
      <w:pPr>
        <w:rPr>
          <w:b/>
          <w:bCs/>
        </w:rPr>
      </w:pPr>
      <w:r w:rsidRPr="001D592E">
        <w:rPr>
          <w:b/>
          <w:bCs/>
        </w:rPr>
        <w:t>Important Notes:</w:t>
      </w:r>
    </w:p>
    <w:p w14:paraId="1ADDBF14" w14:textId="77777777" w:rsidR="001D592E" w:rsidRPr="001D592E" w:rsidRDefault="001D592E" w:rsidP="001D592E">
      <w:pPr>
        <w:numPr>
          <w:ilvl w:val="0"/>
          <w:numId w:val="3"/>
        </w:numPr>
      </w:pPr>
      <w:r w:rsidRPr="001D592E">
        <w:t xml:space="preserve">Ensure that the URL specified in </w:t>
      </w:r>
      <w:proofErr w:type="spellStart"/>
      <w:r w:rsidRPr="001D592E">
        <w:t>jwk</w:t>
      </w:r>
      <w:proofErr w:type="spellEnd"/>
      <w:r w:rsidRPr="001D592E">
        <w:t>-set-</w:t>
      </w:r>
      <w:proofErr w:type="spellStart"/>
      <w:r w:rsidRPr="001D592E">
        <w:t>uri</w:t>
      </w:r>
      <w:proofErr w:type="spellEnd"/>
      <w:r w:rsidRPr="001D592E">
        <w:t xml:space="preserve"> is accessible by your application.</w:t>
      </w:r>
    </w:p>
    <w:p w14:paraId="47F81764" w14:textId="77777777" w:rsidR="001D592E" w:rsidRPr="001D592E" w:rsidRDefault="001D592E" w:rsidP="001D592E">
      <w:pPr>
        <w:numPr>
          <w:ilvl w:val="0"/>
          <w:numId w:val="3"/>
        </w:numPr>
      </w:pPr>
      <w:r w:rsidRPr="001D592E">
        <w:t>The JWKS should include the necessary public keys to verify the JWTs issued by your authorization server.</w:t>
      </w:r>
    </w:p>
    <w:p w14:paraId="13A628DA" w14:textId="77777777" w:rsidR="001D592E" w:rsidRPr="001D592E" w:rsidRDefault="001D592E" w:rsidP="001D592E">
      <w:pPr>
        <w:numPr>
          <w:ilvl w:val="0"/>
          <w:numId w:val="3"/>
        </w:numPr>
      </w:pPr>
      <w:r w:rsidRPr="001D592E">
        <w:t>Make sure to handle exceptions and implement proper error handling for cases when the JWKS is not reachable.</w:t>
      </w:r>
    </w:p>
    <w:p w14:paraId="6879FEA5" w14:textId="77777777" w:rsidR="001D592E" w:rsidRPr="001D592E" w:rsidRDefault="001D592E" w:rsidP="001D592E">
      <w:r w:rsidRPr="001D592E">
        <w:lastRenderedPageBreak/>
        <w:t>This configuration allows your application to authenticate requests securely using JWTs signed by the specified authorization server.</w:t>
      </w:r>
    </w:p>
    <w:p w14:paraId="3ED2C5AF" w14:textId="6ED821D6" w:rsidR="006B32D3" w:rsidRDefault="006B32D3">
      <w:r>
        <w:rPr>
          <w:noProof/>
        </w:rPr>
        <w:drawing>
          <wp:inline distT="0" distB="0" distL="0" distR="0" wp14:anchorId="7496FFBB" wp14:editId="5F36C1AF">
            <wp:extent cx="5943600" cy="4760595"/>
            <wp:effectExtent l="0" t="0" r="0" b="1905"/>
            <wp:docPr id="1820449328"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449328" name="Picture 1" descr="A screenshot of a computer screen&#10;&#10;Description automatically generated"/>
                    <pic:cNvPicPr/>
                  </pic:nvPicPr>
                  <pic:blipFill>
                    <a:blip r:embed="rId13"/>
                    <a:stretch>
                      <a:fillRect/>
                    </a:stretch>
                  </pic:blipFill>
                  <pic:spPr>
                    <a:xfrm>
                      <a:off x="0" y="0"/>
                      <a:ext cx="5943600" cy="4760595"/>
                    </a:xfrm>
                    <a:prstGeom prst="rect">
                      <a:avLst/>
                    </a:prstGeom>
                  </pic:spPr>
                </pic:pic>
              </a:graphicData>
            </a:graphic>
          </wp:inline>
        </w:drawing>
      </w:r>
    </w:p>
    <w:p w14:paraId="17161758" w14:textId="77777777" w:rsidR="002C2869" w:rsidRDefault="002C2869"/>
    <w:sectPr w:rsidR="002C28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84429C"/>
    <w:multiLevelType w:val="multilevel"/>
    <w:tmpl w:val="5440A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6C6D50"/>
    <w:multiLevelType w:val="multilevel"/>
    <w:tmpl w:val="BE44B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544DBD"/>
    <w:multiLevelType w:val="multilevel"/>
    <w:tmpl w:val="2B689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FD7A50"/>
    <w:multiLevelType w:val="multilevel"/>
    <w:tmpl w:val="55DE8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544652"/>
    <w:multiLevelType w:val="multilevel"/>
    <w:tmpl w:val="0C7EB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8B6AE8"/>
    <w:multiLevelType w:val="multilevel"/>
    <w:tmpl w:val="0FFC9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21669A"/>
    <w:multiLevelType w:val="multilevel"/>
    <w:tmpl w:val="F9027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AB06419"/>
    <w:multiLevelType w:val="multilevel"/>
    <w:tmpl w:val="C0645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DB65F53"/>
    <w:multiLevelType w:val="multilevel"/>
    <w:tmpl w:val="78F26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8D915F5"/>
    <w:multiLevelType w:val="multilevel"/>
    <w:tmpl w:val="0AF83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240443F"/>
    <w:multiLevelType w:val="multilevel"/>
    <w:tmpl w:val="C7FCB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C0926C4"/>
    <w:multiLevelType w:val="multilevel"/>
    <w:tmpl w:val="A9222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72042522">
    <w:abstractNumId w:val="5"/>
  </w:num>
  <w:num w:numId="2" w16cid:durableId="424346508">
    <w:abstractNumId w:val="9"/>
  </w:num>
  <w:num w:numId="3" w16cid:durableId="982658466">
    <w:abstractNumId w:val="11"/>
  </w:num>
  <w:num w:numId="4" w16cid:durableId="134757410">
    <w:abstractNumId w:val="2"/>
  </w:num>
  <w:num w:numId="5" w16cid:durableId="172499460">
    <w:abstractNumId w:val="3"/>
  </w:num>
  <w:num w:numId="6" w16cid:durableId="945770573">
    <w:abstractNumId w:val="1"/>
  </w:num>
  <w:num w:numId="7" w16cid:durableId="462163284">
    <w:abstractNumId w:val="10"/>
  </w:num>
  <w:num w:numId="8" w16cid:durableId="824055751">
    <w:abstractNumId w:val="0"/>
  </w:num>
  <w:num w:numId="9" w16cid:durableId="2093772899">
    <w:abstractNumId w:val="6"/>
  </w:num>
  <w:num w:numId="10" w16cid:durableId="942691692">
    <w:abstractNumId w:val="8"/>
  </w:num>
  <w:num w:numId="11" w16cid:durableId="255409834">
    <w:abstractNumId w:val="7"/>
  </w:num>
  <w:num w:numId="12" w16cid:durableId="19599865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A91"/>
    <w:rsid w:val="000120EE"/>
    <w:rsid w:val="00044A91"/>
    <w:rsid w:val="000E264A"/>
    <w:rsid w:val="00157A8F"/>
    <w:rsid w:val="001C56FF"/>
    <w:rsid w:val="001D592E"/>
    <w:rsid w:val="00241ADB"/>
    <w:rsid w:val="00253EE8"/>
    <w:rsid w:val="002577FB"/>
    <w:rsid w:val="002C2869"/>
    <w:rsid w:val="002E223E"/>
    <w:rsid w:val="00425847"/>
    <w:rsid w:val="004470E4"/>
    <w:rsid w:val="004B3723"/>
    <w:rsid w:val="00550FC6"/>
    <w:rsid w:val="005940FF"/>
    <w:rsid w:val="005C1464"/>
    <w:rsid w:val="006B2F6D"/>
    <w:rsid w:val="006B32D3"/>
    <w:rsid w:val="00723864"/>
    <w:rsid w:val="00764E06"/>
    <w:rsid w:val="007B168D"/>
    <w:rsid w:val="007B2C16"/>
    <w:rsid w:val="007D5993"/>
    <w:rsid w:val="008143D2"/>
    <w:rsid w:val="00843232"/>
    <w:rsid w:val="0089629C"/>
    <w:rsid w:val="008F0101"/>
    <w:rsid w:val="0090507B"/>
    <w:rsid w:val="00926F7B"/>
    <w:rsid w:val="00A71AE1"/>
    <w:rsid w:val="00A9407C"/>
    <w:rsid w:val="00B07568"/>
    <w:rsid w:val="00B07770"/>
    <w:rsid w:val="00B30404"/>
    <w:rsid w:val="00C53FF6"/>
    <w:rsid w:val="00CD3A07"/>
    <w:rsid w:val="00CD52E0"/>
    <w:rsid w:val="00D116CE"/>
    <w:rsid w:val="00DA239D"/>
    <w:rsid w:val="00DC0D09"/>
    <w:rsid w:val="00EC0B50"/>
    <w:rsid w:val="00F14D09"/>
    <w:rsid w:val="00FB22B1"/>
    <w:rsid w:val="00FD44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938E2"/>
  <w15:chartTrackingRefBased/>
  <w15:docId w15:val="{6254A1F0-C4B2-4687-9F17-FF0E17E5C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4A9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44A9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44A9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autoRedefine/>
    <w:uiPriority w:val="9"/>
    <w:unhideWhenUsed/>
    <w:qFormat/>
    <w:rsid w:val="00B30404"/>
    <w:pPr>
      <w:keepNext/>
      <w:keepLines/>
      <w:spacing w:before="80" w:after="40"/>
      <w:outlineLvl w:val="3"/>
    </w:pPr>
    <w:rPr>
      <w:rFonts w:eastAsiaTheme="majorEastAsia" w:cstheme="majorBidi"/>
      <w:iCs/>
      <w:color w:val="0F4761" w:themeColor="accent1" w:themeShade="BF"/>
    </w:rPr>
  </w:style>
  <w:style w:type="paragraph" w:styleId="Heading5">
    <w:name w:val="heading 5"/>
    <w:basedOn w:val="Normal"/>
    <w:next w:val="Normal"/>
    <w:link w:val="Heading5Char"/>
    <w:uiPriority w:val="9"/>
    <w:semiHidden/>
    <w:unhideWhenUsed/>
    <w:qFormat/>
    <w:rsid w:val="00044A9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44A9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4A9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4A9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4A9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B30404"/>
    <w:rPr>
      <w:rFonts w:eastAsiaTheme="majorEastAsia" w:cstheme="majorBidi"/>
      <w:iCs/>
      <w:color w:val="0F4761" w:themeColor="accent1" w:themeShade="BF"/>
    </w:rPr>
  </w:style>
  <w:style w:type="character" w:customStyle="1" w:styleId="Heading1Char">
    <w:name w:val="Heading 1 Char"/>
    <w:basedOn w:val="DefaultParagraphFont"/>
    <w:link w:val="Heading1"/>
    <w:uiPriority w:val="9"/>
    <w:rsid w:val="00044A9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44A9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44A91"/>
    <w:rPr>
      <w:rFonts w:eastAsiaTheme="majorEastAsia" w:cstheme="majorBidi"/>
      <w:color w:val="0F4761" w:themeColor="accent1" w:themeShade="BF"/>
      <w:sz w:val="28"/>
      <w:szCs w:val="28"/>
    </w:rPr>
  </w:style>
  <w:style w:type="character" w:customStyle="1" w:styleId="Heading5Char">
    <w:name w:val="Heading 5 Char"/>
    <w:basedOn w:val="DefaultParagraphFont"/>
    <w:link w:val="Heading5"/>
    <w:uiPriority w:val="9"/>
    <w:semiHidden/>
    <w:rsid w:val="00044A9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44A9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4A9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4A9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4A91"/>
    <w:rPr>
      <w:rFonts w:eastAsiaTheme="majorEastAsia" w:cstheme="majorBidi"/>
      <w:color w:val="272727" w:themeColor="text1" w:themeTint="D8"/>
    </w:rPr>
  </w:style>
  <w:style w:type="paragraph" w:styleId="Title">
    <w:name w:val="Title"/>
    <w:basedOn w:val="Normal"/>
    <w:next w:val="Normal"/>
    <w:link w:val="TitleChar"/>
    <w:uiPriority w:val="10"/>
    <w:qFormat/>
    <w:rsid w:val="00044A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4A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4A9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4A9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4A91"/>
    <w:pPr>
      <w:spacing w:before="160"/>
      <w:jc w:val="center"/>
    </w:pPr>
    <w:rPr>
      <w:i/>
      <w:iCs/>
      <w:color w:val="404040" w:themeColor="text1" w:themeTint="BF"/>
    </w:rPr>
  </w:style>
  <w:style w:type="character" w:customStyle="1" w:styleId="QuoteChar">
    <w:name w:val="Quote Char"/>
    <w:basedOn w:val="DefaultParagraphFont"/>
    <w:link w:val="Quote"/>
    <w:uiPriority w:val="29"/>
    <w:rsid w:val="00044A91"/>
    <w:rPr>
      <w:i/>
      <w:iCs/>
      <w:color w:val="404040" w:themeColor="text1" w:themeTint="BF"/>
    </w:rPr>
  </w:style>
  <w:style w:type="paragraph" w:styleId="ListParagraph">
    <w:name w:val="List Paragraph"/>
    <w:basedOn w:val="Normal"/>
    <w:uiPriority w:val="34"/>
    <w:qFormat/>
    <w:rsid w:val="00044A91"/>
    <w:pPr>
      <w:ind w:left="720"/>
      <w:contextualSpacing/>
    </w:pPr>
  </w:style>
  <w:style w:type="character" w:styleId="IntenseEmphasis">
    <w:name w:val="Intense Emphasis"/>
    <w:basedOn w:val="DefaultParagraphFont"/>
    <w:uiPriority w:val="21"/>
    <w:qFormat/>
    <w:rsid w:val="00044A91"/>
    <w:rPr>
      <w:i/>
      <w:iCs/>
      <w:color w:val="0F4761" w:themeColor="accent1" w:themeShade="BF"/>
    </w:rPr>
  </w:style>
  <w:style w:type="paragraph" w:styleId="IntenseQuote">
    <w:name w:val="Intense Quote"/>
    <w:basedOn w:val="Normal"/>
    <w:next w:val="Normal"/>
    <w:link w:val="IntenseQuoteChar"/>
    <w:uiPriority w:val="30"/>
    <w:qFormat/>
    <w:rsid w:val="00044A9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44A91"/>
    <w:rPr>
      <w:i/>
      <w:iCs/>
      <w:color w:val="0F4761" w:themeColor="accent1" w:themeShade="BF"/>
    </w:rPr>
  </w:style>
  <w:style w:type="character" w:styleId="IntenseReference">
    <w:name w:val="Intense Reference"/>
    <w:basedOn w:val="DefaultParagraphFont"/>
    <w:uiPriority w:val="32"/>
    <w:qFormat/>
    <w:rsid w:val="00044A91"/>
    <w:rPr>
      <w:b/>
      <w:bCs/>
      <w:smallCaps/>
      <w:color w:val="0F4761" w:themeColor="accent1" w:themeShade="BF"/>
      <w:spacing w:val="5"/>
    </w:rPr>
  </w:style>
  <w:style w:type="character" w:styleId="Hyperlink">
    <w:name w:val="Hyperlink"/>
    <w:basedOn w:val="DefaultParagraphFont"/>
    <w:uiPriority w:val="99"/>
    <w:unhideWhenUsed/>
    <w:rsid w:val="004470E4"/>
    <w:rPr>
      <w:color w:val="467886" w:themeColor="hyperlink"/>
      <w:u w:val="single"/>
    </w:rPr>
  </w:style>
  <w:style w:type="character" w:styleId="UnresolvedMention">
    <w:name w:val="Unresolved Mention"/>
    <w:basedOn w:val="DefaultParagraphFont"/>
    <w:uiPriority w:val="99"/>
    <w:semiHidden/>
    <w:unhideWhenUsed/>
    <w:rsid w:val="004470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742818">
      <w:bodyDiv w:val="1"/>
      <w:marLeft w:val="0"/>
      <w:marRight w:val="0"/>
      <w:marTop w:val="0"/>
      <w:marBottom w:val="0"/>
      <w:divBdr>
        <w:top w:val="none" w:sz="0" w:space="0" w:color="auto"/>
        <w:left w:val="none" w:sz="0" w:space="0" w:color="auto"/>
        <w:bottom w:val="none" w:sz="0" w:space="0" w:color="auto"/>
        <w:right w:val="none" w:sz="0" w:space="0" w:color="auto"/>
      </w:divBdr>
    </w:div>
    <w:div w:id="540557398">
      <w:bodyDiv w:val="1"/>
      <w:marLeft w:val="0"/>
      <w:marRight w:val="0"/>
      <w:marTop w:val="0"/>
      <w:marBottom w:val="0"/>
      <w:divBdr>
        <w:top w:val="none" w:sz="0" w:space="0" w:color="auto"/>
        <w:left w:val="none" w:sz="0" w:space="0" w:color="auto"/>
        <w:bottom w:val="none" w:sz="0" w:space="0" w:color="auto"/>
        <w:right w:val="none" w:sz="0" w:space="0" w:color="auto"/>
      </w:divBdr>
    </w:div>
    <w:div w:id="573853683">
      <w:bodyDiv w:val="1"/>
      <w:marLeft w:val="0"/>
      <w:marRight w:val="0"/>
      <w:marTop w:val="0"/>
      <w:marBottom w:val="0"/>
      <w:divBdr>
        <w:top w:val="none" w:sz="0" w:space="0" w:color="auto"/>
        <w:left w:val="none" w:sz="0" w:space="0" w:color="auto"/>
        <w:bottom w:val="none" w:sz="0" w:space="0" w:color="auto"/>
        <w:right w:val="none" w:sz="0" w:space="0" w:color="auto"/>
      </w:divBdr>
    </w:div>
    <w:div w:id="707951024">
      <w:bodyDiv w:val="1"/>
      <w:marLeft w:val="0"/>
      <w:marRight w:val="0"/>
      <w:marTop w:val="0"/>
      <w:marBottom w:val="0"/>
      <w:divBdr>
        <w:top w:val="none" w:sz="0" w:space="0" w:color="auto"/>
        <w:left w:val="none" w:sz="0" w:space="0" w:color="auto"/>
        <w:bottom w:val="none" w:sz="0" w:space="0" w:color="auto"/>
        <w:right w:val="none" w:sz="0" w:space="0" w:color="auto"/>
      </w:divBdr>
    </w:div>
    <w:div w:id="825439556">
      <w:bodyDiv w:val="1"/>
      <w:marLeft w:val="0"/>
      <w:marRight w:val="0"/>
      <w:marTop w:val="0"/>
      <w:marBottom w:val="0"/>
      <w:divBdr>
        <w:top w:val="none" w:sz="0" w:space="0" w:color="auto"/>
        <w:left w:val="none" w:sz="0" w:space="0" w:color="auto"/>
        <w:bottom w:val="none" w:sz="0" w:space="0" w:color="auto"/>
        <w:right w:val="none" w:sz="0" w:space="0" w:color="auto"/>
      </w:divBdr>
    </w:div>
    <w:div w:id="1089304001">
      <w:bodyDiv w:val="1"/>
      <w:marLeft w:val="0"/>
      <w:marRight w:val="0"/>
      <w:marTop w:val="0"/>
      <w:marBottom w:val="0"/>
      <w:divBdr>
        <w:top w:val="none" w:sz="0" w:space="0" w:color="auto"/>
        <w:left w:val="none" w:sz="0" w:space="0" w:color="auto"/>
        <w:bottom w:val="none" w:sz="0" w:space="0" w:color="auto"/>
        <w:right w:val="none" w:sz="0" w:space="0" w:color="auto"/>
      </w:divBdr>
    </w:div>
    <w:div w:id="1130512113">
      <w:bodyDiv w:val="1"/>
      <w:marLeft w:val="0"/>
      <w:marRight w:val="0"/>
      <w:marTop w:val="0"/>
      <w:marBottom w:val="0"/>
      <w:divBdr>
        <w:top w:val="none" w:sz="0" w:space="0" w:color="auto"/>
        <w:left w:val="none" w:sz="0" w:space="0" w:color="auto"/>
        <w:bottom w:val="none" w:sz="0" w:space="0" w:color="auto"/>
        <w:right w:val="none" w:sz="0" w:space="0" w:color="auto"/>
      </w:divBdr>
    </w:div>
    <w:div w:id="1188056736">
      <w:bodyDiv w:val="1"/>
      <w:marLeft w:val="0"/>
      <w:marRight w:val="0"/>
      <w:marTop w:val="0"/>
      <w:marBottom w:val="0"/>
      <w:divBdr>
        <w:top w:val="none" w:sz="0" w:space="0" w:color="auto"/>
        <w:left w:val="none" w:sz="0" w:space="0" w:color="auto"/>
        <w:bottom w:val="none" w:sz="0" w:space="0" w:color="auto"/>
        <w:right w:val="none" w:sz="0" w:space="0" w:color="auto"/>
      </w:divBdr>
    </w:div>
    <w:div w:id="1355811831">
      <w:bodyDiv w:val="1"/>
      <w:marLeft w:val="0"/>
      <w:marRight w:val="0"/>
      <w:marTop w:val="0"/>
      <w:marBottom w:val="0"/>
      <w:divBdr>
        <w:top w:val="none" w:sz="0" w:space="0" w:color="auto"/>
        <w:left w:val="none" w:sz="0" w:space="0" w:color="auto"/>
        <w:bottom w:val="none" w:sz="0" w:space="0" w:color="auto"/>
        <w:right w:val="none" w:sz="0" w:space="0" w:color="auto"/>
      </w:divBdr>
    </w:div>
    <w:div w:id="1474173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microsoft.com/en-us/azure/active-directory/" TargetMode="External"/><Relationship Id="rId11" Type="http://schemas.openxmlformats.org/officeDocument/2006/relationships/image" Target="media/image5.png"/><Relationship Id="rId5" Type="http://schemas.openxmlformats.org/officeDocument/2006/relationships/hyperlink" Target="https://docs.aws.amazon.com/cognito/" TargetMode="Externa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49</TotalTime>
  <Pages>9</Pages>
  <Words>929</Words>
  <Characters>5300</Characters>
  <Application>Microsoft Office Word</Application>
  <DocSecurity>0</DocSecurity>
  <Lines>44</Lines>
  <Paragraphs>12</Paragraphs>
  <ScaleCrop>false</ScaleCrop>
  <Company>FedEx</Company>
  <LinksUpToDate>false</LinksUpToDate>
  <CharactersWithSpaces>6217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 Mishra (OSV)</dc:creator>
  <cp:keywords/>
  <dc:description/>
  <cp:lastModifiedBy>Dinesh Mishra (OSV)</cp:lastModifiedBy>
  <cp:revision>46</cp:revision>
  <dcterms:created xsi:type="dcterms:W3CDTF">2024-11-01T04:51:00Z</dcterms:created>
  <dcterms:modified xsi:type="dcterms:W3CDTF">2024-11-01T05:40:00Z</dcterms:modified>
</cp:coreProperties>
</file>