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studioverse_executive_product_document"/>
      <w:r>
        <w:rPr>
          <w:rFonts w:eastAsia="Georgia" w:cs="Georgia" w:ascii="Georgia" w:hAnsi="Georgia"/>
          <w:b/>
          <w:sz w:val="56"/>
        </w:rPr>
        <w:t xml:space="preserve">StudioVerse — Executive Product Document</w:t>
      </w:r>
      <w:bookmarkEnd w:id="0"/>
    </w:p>
    <w:p>
      <w:pPr>
        <w:spacing w:after="210" w:lineRule="auto"/>
      </w:pPr>
      <w:r>
        <w:rPr>
          <w:b/>
        </w:rPr>
        <w:t xml:space="preserve">Version 2.0 | March 2026 | Classification: Confidential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preamble"/>
      <w:r>
        <w:rPr>
          <w:b/>
          <w:sz w:val="42"/>
        </w:rPr>
        <w:t xml:space="preserve">Preamble</w:t>
      </w:r>
      <w:bookmarkEnd w:id="1"/>
    </w:p>
    <w:p>
      <w:pPr>
        <w:spacing w:after="210" w:lineRule="auto"/>
      </w:pPr>
      <w:r>
        <w:rPr>
          <w:rFonts w:eastAsia="Georgia" w:cs="Georgia" w:ascii="Georgia" w:hAnsi="Georgia"/>
        </w:rPr>
        <w:t xml:space="preserve">This document supersedes all previous versions of the CoachingStudio Executive Product Document. It reflects the full strategic evolution of the platform — from a coaching-specific tool to a multi-vertical, multi-tenant professional services infrastructure platform operating under the master brand </w:t>
      </w:r>
      <w:r>
        <w:rPr>
          <w:b/>
        </w:rPr>
        <w:t xml:space="preserve">StudioVerse</w:t>
      </w:r>
      <w:r>
        <w:rPr/>
        <w:t xml:space="preserve">.</w:t>
      </w:r>
    </w:p>
    <w:p>
      <w:pPr>
        <w:spacing w:after="210" w:lineRule="auto"/>
      </w:pPr>
      <w:r>
        <w:rPr/>
        <w:t xml:space="preserve">All engineering, product, investor, and partnership communications should reference this document as the primary source of truth.</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executive_summary"/>
      <w:r>
        <w:rPr>
          <w:b/>
          <w:sz w:val="42"/>
        </w:rPr>
        <w:t xml:space="preserve">Executive Summary</w:t>
      </w:r>
      <w:bookmarkEnd w:id="2"/>
    </w:p>
    <w:p>
      <w:pPr>
        <w:spacing w:after="210" w:lineRule="auto"/>
      </w:pPr>
      <w:r>
        <w:rPr>
          <w:b/>
        </w:rPr>
        <w:t xml:space="preserve">StudioVerse</w:t>
      </w:r>
      <w:r>
        <w:rPr>
          <w:rFonts w:eastAsia="Georgia" w:cs="Georgia" w:ascii="Georgia" w:hAnsi="Georgia"/>
        </w:rPr>
        <w:t xml:space="preserve"> is a multi-tenant SaaS platform engineered to become the definitive digital infrastructure layer for the professional services delivery industry. Where professionals — coaches, trainers, recruiters, mentors, consultants — currently cobble together disconnected tools to deliver their services, StudioVerse replaces the entire stack with a single, intelligent, beautifully designed platform.</w:t>
      </w:r>
    </w:p>
    <w:p>
      <w:pPr>
        <w:spacing w:after="210" w:lineRule="auto"/>
      </w:pPr>
      <w:r>
        <w:rPr/>
        <w:t xml:space="preserve">StudioVerse deploys to the world as a family of purpose-built, independently branded products:</w:t>
      </w:r>
    </w:p>
    <w:p>
      <w:pPr>
        <w:numPr>
          <w:ilvl w:val="0"/>
          <w:numId w:val="1"/>
        </w:numPr>
        <w:spacing w:lineRule="auto"/>
      </w:pPr>
      <w:r>
        <w:rPr>
          <w:b/>
        </w:rPr>
        <w:t xml:space="preserve">Coaching Studio</w:t>
      </w:r>
      <w:r>
        <w:rPr>
          <w:rFonts w:eastAsia="Georgia" w:cs="Georgia" w:ascii="Georgia" w:hAnsi="Georgia"/>
        </w:rPr>
        <w:t xml:space="preserve"> — for the global professional coaching industry</w:t>
      </w:r>
    </w:p>
    <w:p>
      <w:pPr>
        <w:numPr>
          <w:ilvl w:val="0"/>
          <w:numId w:val="1"/>
        </w:numPr>
        <w:spacing w:lineRule="auto"/>
      </w:pPr>
      <w:r>
        <w:rPr>
          <w:b/>
        </w:rPr>
        <w:t xml:space="preserve">Training Studio</w:t>
      </w:r>
      <w:r>
        <w:rPr>
          <w:rFonts w:eastAsia="Georgia" w:cs="Georgia" w:ascii="Georgia" w:hAnsi="Georgia"/>
        </w:rPr>
        <w:t xml:space="preserve"> — for corporate learning, development, and training organizations</w:t>
      </w:r>
    </w:p>
    <w:p>
      <w:pPr>
        <w:numPr>
          <w:ilvl w:val="0"/>
          <w:numId w:val="1"/>
        </w:numPr>
        <w:spacing w:lineRule="auto"/>
      </w:pPr>
      <w:r>
        <w:rPr>
          <w:b/>
        </w:rPr>
        <w:t xml:space="preserve">Recruitment Studio</w:t>
      </w:r>
      <w:r>
        <w:rPr>
          <w:rFonts w:eastAsia="Georgia" w:cs="Georgia" w:ascii="Georgia" w:hAnsi="Georgia"/>
        </w:rPr>
        <w:t xml:space="preserve"> — for talent acquisition firms, staffing agencies, and in-house recruitment teams</w:t>
      </w:r>
    </w:p>
    <w:p>
      <w:pPr>
        <w:spacing w:after="210" w:lineRule="auto"/>
      </w:pPr>
      <w:r>
        <w:rPr>
          <w:rFonts w:eastAsia="Georgia" w:cs="Georgia" w:ascii="Georgia" w:hAnsi="Georgia"/>
        </w:rPr>
        <w:t xml:space="preserve">Each Studio is a fully standalone, market-facing application with its own branding, domain, terminology, and go-to-market strategy. Underneath, they share a single, unified engine — the same codebase, the same data architecture, the same AI-powered assessment and reporting infrastructure. New Studios can be added to the StudioVerse family through configuration, not new code.</w:t>
      </w:r>
    </w:p>
    <w:p>
      <w:pPr>
        <w:spacing w:after="210" w:lineRule="auto"/>
      </w:pPr>
      <w:r>
        <w:rPr/>
        <w:t xml:space="preserve">The combined addressable market across these three verticals exceeds </w:t>
      </w:r>
      <w:r>
        <w:rPr>
          <w:b/>
        </w:rPr>
        <w:t xml:space="preserve">$430 billion globally</w:t>
      </w:r>
      <w:r>
        <w:rPr>
          <w:rFonts w:eastAsia="Georgia" w:cs="Georgia" w:ascii="Georgia" w:hAnsi="Georgia"/>
        </w:rPr>
        <w:t xml:space="preserve"> — corporate training at $417 billion, professional coaching at $5.3 billion in platform software, and talent acquisition software at $10.95 billion — all growing at double-digit CAGRs through 2030 and beyond.</w:t>
      </w:r>
    </w:p>
    <w:p>
      <w:pPr>
        <w:spacing w:after="210" w:lineRule="auto"/>
      </w:pPr>
      <w:r>
        <w:rPr/>
        <w:t xml:space="preserve">StudioVerse's strategic architecture is built on four compounding moats: a </w:t>
      </w:r>
      <w:r>
        <w:rPr>
          <w:b/>
        </w:rPr>
        <w:t xml:space="preserve">viral widget distribution engine</w:t>
      </w:r>
      <w:r>
        <w:rPr/>
        <w:t xml:space="preserve"> that turns every Professional's external website into a lead acquisition channel; a </w:t>
      </w:r>
      <w:r>
        <w:rPr>
          <w:b/>
        </w:rPr>
        <w:t xml:space="preserve">longitudinal data advantage</w:t>
      </w:r>
      <w:r>
        <w:rPr/>
        <w:t xml:space="preserve"> that no competitor can buy; a </w:t>
      </w:r>
      <w:r>
        <w:rPr>
          <w:b/>
        </w:rPr>
        <w:t xml:space="preserve">cohort network effect</w:t>
      </w:r>
      <w:r>
        <w:rPr/>
        <w:t xml:space="preserve"> that increases platform value with every new user; and an </w:t>
      </w:r>
      <w:r>
        <w:rPr>
          <w:b/>
        </w:rPr>
        <w:t xml:space="preserve">extensible Studio Factory</w:t>
      </w:r>
      <w:r>
        <w:rPr/>
        <w:t xml:space="preserve"> that allows the platform to enter new professional verticals with near-zero marginal engineering cost.</w:t>
      </w:r>
    </w:p>
    <w:p>
      <w:pPr>
        <w:spacing w:after="210" w:lineRule="auto"/>
      </w:pPr>
      <w:r>
        <w:rPr/>
        <w:t xml:space="preserve">StudioVerse is not competing with any single existing product. It is defining a new category: </w:t>
      </w:r>
      <w:r>
        <w:rPr>
          <w:b/>
        </w:rPr>
        <w:t xml:space="preserve">Professional Services Delivery Infrastructure</w:t>
      </w:r>
      <w:r>
        <w:rPr/>
        <w:t xml:space="preserv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section_1_the_problem_three_indus_9774f2"/>
      <w:r>
        <w:rPr>
          <w:rFonts w:eastAsia="Georgia" w:cs="Georgia" w:ascii="Georgia" w:hAnsi="Georgia"/>
          <w:b/>
          <w:sz w:val="42"/>
        </w:rPr>
        <w:t xml:space="preserve">Section 1 — The Problem: Three Industries Running on Broken Stacks</w:t>
      </w:r>
      <w:bookmarkEnd w:id="3"/>
    </w:p>
    <w:p>
      <w:pPr>
        <w:spacing w:line="271" w:before="240" w:lineRule="auto"/>
      </w:pPr>
      <w:bookmarkStart w:id="4" w:name="bm_1_1_the_universal_fragmentatio_88d586"/>
      <w:r>
        <w:rPr>
          <w:b/>
          <w:sz w:val="33"/>
        </w:rPr>
        <w:t xml:space="preserve">1.1 The Universal Fragmentation Crisis</w:t>
      </w:r>
      <w:bookmarkEnd w:id="4"/>
    </w:p>
    <w:p>
      <w:pPr>
        <w:spacing w:after="210" w:lineRule="auto"/>
      </w:pPr>
      <w:r>
        <w:rPr>
          <w:rFonts w:eastAsia="Georgia" w:cs="Georgia" w:ascii="Georgia" w:hAnsi="Georgia"/>
        </w:rPr>
        <w:t xml:space="preserve">Across three massive professional services industries — coaching, training, and recruitment — the operational reality in 2026 is remarkably, embarrassingly similar. Professionals who deliver extraordinary human value are drowning in administrative dysfunction.</w:t>
      </w:r>
    </w:p>
    <w:p>
      <w:pPr>
        <w:spacing w:after="210" w:lineRule="auto"/>
      </w:pPr>
      <w:r>
        <w:rPr>
          <w:rFonts w:eastAsia="Georgia" w:cs="Georgia" w:ascii="Georgia" w:hAnsi="Georgia"/>
        </w:rPr>
        <w:t xml:space="preserve">A professional coach schedules via WhatsApp, sends materials over email, tracks progress in a personal notebook, invoices through PayPal, and distributes assessments as Google Forms. A corporate trainer manages participant lists in Excel, delivers slide decks via email attachment, collects feedback through SurveyMonkey, and compiles reports manually in Word. A recruiter tracks candidates across LinkedIn, email threads, spreadsheet pipelines, and calendar reminders — with no unified view of where any candidate stands in the process.</w:t>
      </w:r>
    </w:p>
    <w:p>
      <w:pPr>
        <w:spacing w:after="210" w:lineRule="auto"/>
      </w:pPr>
      <w:r>
        <w:rPr/>
        <w:t xml:space="preserve">The tool each professional uses is different. The dysfunction is identical.</w:t>
      </w:r>
    </w:p>
    <w:p>
      <w:pPr>
        <w:spacing w:after="210" w:lineRule="auto"/>
      </w:pPr>
      <w:r>
        <w:rPr>
          <w:rFonts w:eastAsia="Georgia" w:cs="Georgia" w:ascii="Georgia" w:hAnsi="Georgia"/>
        </w:rPr>
        <w:t xml:space="preserve">This fragmentation — what product teams call the </w:t>
      </w:r>
      <w:r>
        <w:rPr>
          <w:b/>
        </w:rPr>
        <w:t xml:space="preserve">Franken-stack</w:t>
      </w:r>
      <w:r>
        <w:rPr>
          <w:rFonts w:eastAsia="Georgia" w:cs="Georgia" w:ascii="Georgia" w:hAnsi="Georgia"/>
        </w:rPr>
        <w:t xml:space="preserve"> — creates three compounding failures that afflict all three industries simultaneously.</w:t>
      </w:r>
    </w:p>
    <w:p>
      <w:pPr>
        <w:spacing w:line="271" w:before="240" w:lineRule="auto"/>
      </w:pPr>
      <w:bookmarkStart w:id="5" w:name="bm_1_2_failure_1_administrative_burnout"/>
      <w:r>
        <w:rPr>
          <w:rFonts w:eastAsia="Georgia" w:cs="Georgia" w:ascii="Georgia" w:hAnsi="Georgia"/>
          <w:b/>
          <w:sz w:val="33"/>
        </w:rPr>
        <w:t xml:space="preserve">1.2 Failure 1 — Administrative Burnout</w:t>
      </w:r>
      <w:bookmarkEnd w:id="5"/>
    </w:p>
    <w:p>
      <w:pPr>
        <w:spacing w:after="210" w:lineRule="auto"/>
      </w:pPr>
      <w:r>
        <w:rPr>
          <w:rFonts w:eastAsia="Georgia" w:cs="Georgia" w:ascii="Georgia" w:hAnsi="Georgia"/>
        </w:rPr>
        <w:t xml:space="preserve">The average independent coach spends 30–40% of their working hours on administrative tasks: scheduling, follow-up, content distribution, invoice chasing, and reporting. Corporate trainers spend comparable proportions managing logistics, communications, and compliance documentation. Recruiters spend significant time on candidate status updates, outreach sequencing, and pipeline reporting that could be automated entirely.</w:t>
      </w:r>
    </w:p>
    <w:p>
      <w:pPr>
        <w:spacing w:after="210" w:lineRule="auto"/>
      </w:pPr>
      <w:r>
        <w:rPr>
          <w:rFonts w:eastAsia="Georgia" w:cs="Georgia" w:ascii="Georgia" w:hAnsi="Georgia"/>
        </w:rPr>
        <w:t xml:space="preserve">This administrative burden is a direct tax on professional effectiveness. When a coach is context-switching between five different tools for a single client engagement, both the experience and the outcome suffer. For companies managing teams of 10, 20, or 50 professionals, this fragmentation multiplies catastrophically — there is no central view of who is doing what, no standardized delivery framework, and no organizational intelligence. The professionals who should be spending 100% of their time on human transformation are spending nearly half of it on administration that software should handle invisibly.</w:t>
      </w:r>
    </w:p>
    <w:p>
      <w:pPr>
        <w:spacing w:line="271" w:before="240" w:lineRule="auto"/>
      </w:pPr>
      <w:bookmarkStart w:id="6" w:name="bm_1_3_failure_2_the_scalability_wall"/>
      <w:r>
        <w:rPr>
          <w:rFonts w:eastAsia="Georgia" w:cs="Georgia" w:ascii="Georgia" w:hAnsi="Georgia"/>
          <w:b/>
          <w:sz w:val="33"/>
        </w:rPr>
        <w:t xml:space="preserve">1.3 Failure 2 — The Scalability Wall</w:t>
      </w:r>
      <w:bookmarkEnd w:id="6"/>
    </w:p>
    <w:p>
      <w:pPr>
        <w:spacing w:after="210" w:lineRule="auto"/>
      </w:pPr>
      <w:r>
        <w:rPr/>
        <w:t xml:space="preserve">Professional services are currently bound by linear time. A coach charging $300 per hour can only earn what their calendar permits. A trainer delivering in-person workshops is capped by geography and physical presence. A recruiter's throughput is limited by the number of hours in a week.</w:t>
      </w:r>
    </w:p>
    <w:p>
      <w:pPr>
        <w:spacing w:after="210" w:lineRule="auto"/>
      </w:pPr>
      <w:r>
        <w:rPr>
          <w:rFonts w:eastAsia="Georgia" w:cs="Georgia" w:ascii="Georgia" w:hAnsi="Georgia"/>
        </w:rPr>
        <w:t xml:space="preserve">Unlike software products or content creators, these professionals have no infrastructure to productize their intellectual property — their frameworks, assessments, programs, and methodologies — into assets that generate value while they sleep. This ceiling artificially caps the economic potential of even the most talented professionals in all three industries.</w:t>
      </w:r>
    </w:p>
    <w:p>
      <w:pPr>
        <w:spacing w:after="210" w:lineRule="auto"/>
      </w:pPr>
      <w:r>
        <w:rPr/>
        <w:t xml:space="preserve">The coaching industry needs the equivalent of what Shopify did for retail merchants. The training industry needs what Teachable did for online courses. The recruitment industry needs what Salesforce did for sales teams. All three need the same fundamental transformation: a platform that converts a time-constrained service delivery model into a scalable, productized, data-driven professional practice.</w:t>
      </w:r>
    </w:p>
    <w:p>
      <w:pPr>
        <w:spacing w:after="210" w:lineRule="auto"/>
      </w:pPr>
      <w:r>
        <w:rPr>
          <w:rFonts w:eastAsia="Georgia" w:cs="Georgia" w:ascii="Georgia" w:hAnsi="Georgia"/>
        </w:rPr>
        <w:t xml:space="preserve">StudioVerse is that platform — built once, deployed across all three.</w:t>
      </w:r>
    </w:p>
    <w:p>
      <w:pPr>
        <w:spacing w:line="271" w:before="240" w:lineRule="auto"/>
      </w:pPr>
      <w:bookmarkStart w:id="7" w:name="bm_1_4_failure_3_the_data_void_an_ec2eae"/>
      <w:r>
        <w:rPr>
          <w:rFonts w:eastAsia="Georgia" w:cs="Georgia" w:ascii="Georgia" w:hAnsi="Georgia"/>
          <w:b/>
          <w:sz w:val="33"/>
        </w:rPr>
        <w:t xml:space="preserve">1.4 Failure 3 — The Data Void and Zero ROI Visibility</w:t>
      </w:r>
      <w:bookmarkEnd w:id="7"/>
    </w:p>
    <w:p>
      <w:pPr>
        <w:spacing w:after="210" w:lineRule="auto"/>
      </w:pPr>
      <w:r>
        <w:rPr/>
        <w:t xml:space="preserve">Organizations spend billions of dollars annually on coaching programs, corporate training initiatives, and talent acquisition campaigns with virtually no ability to measure return on investment.</w:t>
      </w:r>
    </w:p>
    <w:p>
      <w:pPr>
        <w:spacing w:after="210" w:lineRule="auto"/>
      </w:pPr>
      <w:r>
        <w:rPr/>
        <w:t xml:space="preserve">There is no standardized protocol for capturing a coachee's developmental baseline, tracking their evolution across time, or correlating coaching interventions with business outcomes. There is no unified view of training program effectiveness across cohorts, regions, and business units. There is no structured data trail connecting a recruiter's assessment of a candidate to that candidate's eventual performance in the role.</w:t>
      </w:r>
    </w:p>
    <w:p>
      <w:pPr>
        <w:spacing w:after="210" w:lineRule="auto"/>
      </w:pPr>
      <w:r>
        <w:rPr>
          <w:rFonts w:eastAsia="Georgia" w:cs="Georgia" w:ascii="Georgia" w:hAnsi="Georgia"/>
        </w:rPr>
        <w:t xml:space="preserve">For HR leaders, L&amp;D executives, and talent acquisition directors, this creates a perpetual credibility crisis. Coaching, training, and recruitment are often among the largest line items in a development and talent budget — yet they produce no structured data that can survive a CFO's scrutiny. The absence of longitudinal, structured outcome data is not just an inconvenience. It is an existential threat to the industry's legitimacy with enterprise buyers.</w:t>
      </w:r>
    </w:p>
    <w:p>
      <w:pPr>
        <w:spacing w:line="271" w:before="240" w:lineRule="auto"/>
      </w:pPr>
      <w:bookmarkStart w:id="8" w:name="bm_1_5_why_now_the_convergence_of_forces"/>
      <w:r>
        <w:rPr>
          <w:rFonts w:eastAsia="Georgia" w:cs="Georgia" w:ascii="Georgia" w:hAnsi="Georgia"/>
          <w:b/>
          <w:sz w:val="33"/>
        </w:rPr>
        <w:t xml:space="preserve">1.5 Why Now — The Convergence of Forces</w:t>
      </w:r>
      <w:bookmarkEnd w:id="8"/>
    </w:p>
    <w:p>
      <w:pPr>
        <w:spacing w:after="210" w:lineRule="auto"/>
      </w:pPr>
      <w:r>
        <w:rPr/>
        <w:t xml:space="preserve">Four macro trends have aligned to make 2026 the optimal moment to build StudioVerse:</w:t>
      </w:r>
    </w:p>
    <w:p>
      <w:pPr>
        <w:spacing w:after="210" w:lineRule="auto"/>
      </w:pPr>
      <w:r>
        <w:rPr>
          <w:b/>
        </w:rPr>
        <w:t xml:space="preserve">1. Post-Pandemic normalization of remote professional services.</w:t>
      </w:r>
      <w:r>
        <w:rPr>
          <w:rFonts w:eastAsia="Georgia" w:cs="Georgia" w:ascii="Georgia" w:hAnsi="Georgia"/>
        </w:rPr>
        <w:t xml:space="preserve"> Virtual coaching, digital training, and AI-assisted recruitment moved from compromise to preference. Professionals and their clients now expect fully digital, asynchronous engagement workflows as the default — not the exception.</w:t>
      </w:r>
    </w:p>
    <w:p>
      <w:pPr>
        <w:spacing w:after="210" w:lineRule="auto"/>
      </w:pPr>
      <w:r>
        <w:rPr>
          <w:b/>
        </w:rPr>
        <w:t xml:space="preserve">2. AI maturity for assessment, analytics, and report generation.</w:t>
      </w:r>
      <w:r>
        <w:rPr>
          <w:rFonts w:eastAsia="Georgia" w:cs="Georgia" w:ascii="Georgia" w:hAnsi="Georgia"/>
        </w:rPr>
        <w:t xml:space="preserve"> Large language models are now capable of producing nuanced, personalized professional development reports from structured assessment data — turning raw scores into actionable insight narratives instantly. This capability, which would have required a team of analysts three years ago, can now be delivered automatically at the moment of assessment completion.</w:t>
      </w:r>
    </w:p>
    <w:p>
      <w:pPr>
        <w:spacing w:after="210" w:lineRule="auto"/>
      </w:pPr>
      <w:r>
        <w:rPr>
          <w:b/>
        </w:rPr>
        <w:t xml:space="preserve">3. The creator economy's infrastructure playbook.</w:t>
      </w:r>
      <w:r>
        <w:rPr/>
        <w:t xml:space="preserve"> Platforms like Shopify, Substack, and Teachable have proven that picks-and-shovels infrastructure for independent professionals is a massively scalable business model. The coaching, training, and recruitment industries have not yet had their infrastructure moment. The window to own that moment is now.</w:t>
      </w:r>
    </w:p>
    <w:p>
      <w:pPr>
        <w:spacing w:after="210" w:lineRule="auto"/>
      </w:pPr>
      <w:r>
        <w:rPr>
          <w:b/>
        </w:rPr>
        <w:t xml:space="preserve">4. Enterprise demand for unified professional development platforms.</w:t>
      </w:r>
      <w:r>
        <w:rPr>
          <w:rFonts w:eastAsia="Georgia" w:cs="Georgia" w:ascii="Georgia" w:hAnsi="Georgia"/>
        </w:rPr>
        <w:t xml:space="preserve"> Organizations are consolidating fragmented professional services procurement. HR and L&amp;D leaders are actively seeking single-platform solutions that cover coaching, training, and talent development under one data model — enabling the kind of cross-functional analytics that is currently impossible with disconnected tools.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section_2_the_studioverse_platfor_43fef7"/>
      <w:r>
        <w:rPr>
          <w:rFonts w:eastAsia="Georgia" w:cs="Georgia" w:ascii="Georgia" w:hAnsi="Georgia"/>
          <w:b/>
          <w:sz w:val="42"/>
        </w:rPr>
        <w:t xml:space="preserve">Section 2 — The StudioVerse Platform Architecture</w:t>
      </w:r>
      <w:bookmarkEnd w:id="9"/>
    </w:p>
    <w:p>
      <w:pPr>
        <w:spacing w:line="271" w:before="240" w:lineRule="auto"/>
      </w:pPr>
      <w:bookmarkStart w:id="10" w:name="bm_2_1_the_studio_factory_model"/>
      <w:r>
        <w:rPr>
          <w:b/>
          <w:sz w:val="33"/>
        </w:rPr>
        <w:t xml:space="preserve">2.1 The Studio Factory Model</w:t>
      </w:r>
      <w:bookmarkEnd w:id="10"/>
    </w:p>
    <w:p>
      <w:pPr>
        <w:spacing w:after="210" w:lineRule="auto"/>
      </w:pPr>
      <w:r>
        <w:rPr/>
        <w:t xml:space="preserve">StudioVerse is engineered as a </w:t>
      </w:r>
      <w:r>
        <w:rPr>
          <w:b/>
        </w:rPr>
        <w:t xml:space="preserve">Studio Factory</w:t>
      </w:r>
      <w:r>
        <w:rPr>
          <w:rFonts w:eastAsia="Georgia" w:cs="Georgia" w:ascii="Georgia" w:hAnsi="Georgia"/>
        </w:rPr>
        <w:t xml:space="preserve"> — a single platform capable of generating purpose-built professional services applications for any vertical that follows the universal Professional-to-Individual delivery model.</w:t>
      </w:r>
    </w:p>
    <w:p>
      <w:pPr>
        <w:spacing w:after="210" w:lineRule="auto"/>
      </w:pPr>
      <w:r>
        <w:rPr/>
        <w:t xml:space="preserve">The platform deploys as three market-facing Studio products in Version 1.0. Each Studio is a complete, independently branded application with its own domain, color palette, terminology layer, onboarding language, and go-to-market position. Underneath, every Studio runs on the identical StudioVerse engine without a single line of code difference.</w:t>
      </w:r>
    </w:p>
    <w:p>
      <w:pPr>
        <w:spacing w:after="210" w:lineRule="auto"/>
      </w:pPr>
      <w:r>
        <w:rPr>
          <w:b/>
        </w:rPr>
        <w:t xml:space="preserve">Studio deployment is driven by a single environment configuration variable — </w:t>
      </w:r>
      <w:r>
        <w:rPr>
          <w:rStyle w:val="VerbatimChar"/>
          <w:rFonts w:eastAsia="Georgia" w:cs="Georgia" w:ascii="Georgia" w:hAnsi="Georgia"/>
          <w:b/>
          <w:shd w:val="clear" w:color="auto" w:fill="F8F8FA"/>
        </w:rPr>
        <w:t xml:space="preserve">STUDIO_TYPE — which activates the appropriate skin, terminology, catalog defaults, and branding for that vertical.</w:t>
      </w:r>
      <w:r>
        <w:rPr/>
        <w:t xml:space="preserve"> Adding a new Studio to the StudioVerse family requires configuration work, not engineering work.</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Studio Product</w:t>
            </w:r>
          </w:p>
        </w:tc>
        <w:tc>
          <w:tcPr>
            <w:tcBorders>
              <w:top w:val="single" w:sz="1" w:space="0" w:color="000000"/>
              <w:left w:val="single" w:sz="1" w:space="0" w:color="000000"/>
              <w:bottom w:val="single" w:sz="1" w:space="0" w:color="000000"/>
            </w:tcBorders>
          </w:tcPr>
          <w:p>
            <w:pPr>
              <w:spacing w:lineRule="auto"/>
            </w:pPr>
            <w:r>
              <w:rPr/>
              <w:t xml:space="preserve">Vertical</w:t>
            </w:r>
          </w:p>
        </w:tc>
        <w:tc>
          <w:tcPr>
            <w:tcBorders>
              <w:top w:val="single" w:sz="1" w:space="0" w:color="000000"/>
              <w:left w:val="single" w:sz="1" w:space="0" w:color="000000"/>
              <w:bottom w:val="single" w:sz="1" w:space="0" w:color="000000"/>
            </w:tcBorders>
          </w:tcPr>
          <w:p>
            <w:pPr>
              <w:spacing w:lineRule="auto"/>
            </w:pPr>
            <w:r>
              <w:rPr/>
              <w:t xml:space="preserve">Target Actors</w:t>
            </w:r>
          </w:p>
        </w:tc>
        <w:tc>
          <w:tcPr>
            <w:tcBorders>
              <w:top w:val="single" w:sz="1" w:space="0" w:color="000000"/>
              <w:left w:val="single" w:sz="1" w:space="0" w:color="000000"/>
              <w:bottom w:val="single" w:sz="1" w:space="0" w:color="000000"/>
            </w:tcBorders>
          </w:tcPr>
          <w:p>
            <w:pPr>
              <w:spacing w:lineRule="auto"/>
            </w:pPr>
            <w:r>
              <w:rPr/>
              <w:t xml:space="preserve">Domain</w:t>
            </w:r>
          </w:p>
        </w:tc>
      </w:tr>
      <w:tr>
        <w:trPr>
          <w:cantSplit/>
        </w:trPr>
        <w:tc>
          <w:tcPr>
            <w:tcBorders>
              <w:top w:val="single" w:sz="1" w:space="0" w:color="000000"/>
              <w:bottom w:val="single" w:sz="1" w:space="0" w:color="000000"/>
            </w:tcBorders>
          </w:tcPr>
          <w:p>
            <w:pPr>
              <w:spacing w:lineRule="auto"/>
            </w:pPr>
            <w:r>
              <w:rPr>
                <w:b/>
              </w:rPr>
              <w:t xml:space="preserve">Coaching Studio</w:t>
            </w:r>
          </w:p>
        </w:tc>
        <w:tc>
          <w:tcPr>
            <w:tcBorders>
              <w:top w:val="single" w:sz="1" w:space="0" w:color="000000"/>
              <w:left w:val="single" w:sz="1" w:space="0" w:color="000000"/>
              <w:bottom w:val="single" w:sz="1" w:space="0" w:color="000000"/>
            </w:tcBorders>
          </w:tcPr>
          <w:p>
            <w:pPr>
              <w:spacing w:lineRule="auto"/>
            </w:pPr>
            <w:r>
              <w:rPr/>
              <w:t xml:space="preserve">Professional Coaching</w:t>
            </w:r>
          </w:p>
        </w:tc>
        <w:tc>
          <w:tcPr>
            <w:tcBorders>
              <w:top w:val="single" w:sz="1" w:space="0" w:color="000000"/>
              <w:left w:val="single" w:sz="1" w:space="0" w:color="000000"/>
              <w:bottom w:val="single" w:sz="1" w:space="0" w:color="000000"/>
            </w:tcBorders>
          </w:tcPr>
          <w:p>
            <w:pPr>
              <w:spacing w:lineRule="auto"/>
            </w:pPr>
            <w:r>
              <w:rPr/>
              <w:t xml:space="preserve">Coaches, Coaching Firms, Coachees</w:t>
            </w:r>
          </w:p>
        </w:tc>
        <w:tc>
          <w:tcPr>
            <w:tcBorders>
              <w:top w:val="single" w:sz="1" w:space="0" w:color="000000"/>
              <w:left w:val="single" w:sz="1" w:space="0" w:color="000000"/>
              <w:bottom w:val="single" w:sz="1" w:space="0" w:color="000000"/>
            </w:tcBorders>
          </w:tcPr>
          <w:p>
            <w:pPr>
              <w:spacing w:lineRule="auto"/>
            </w:pPr>
            <w:hyperlink r:id="rId5">
              <w:r>
                <w:rPr>
                  <w:color w:val="4472C4"/>
                </w:rPr>
                <w:t xml:space="preserve">coachingstudio.io</w:t>
              </w:r>
            </w:hyperlink>
          </w:p>
        </w:tc>
      </w:tr>
      <w:tr>
        <w:trPr>
          <w:cantSplit/>
        </w:trPr>
        <w:tc>
          <w:tcPr>
            <w:tcBorders>
              <w:top w:val="single" w:sz="1" w:space="0" w:color="000000"/>
              <w:bottom w:val="single" w:sz="1" w:space="0" w:color="000000"/>
            </w:tcBorders>
          </w:tcPr>
          <w:p>
            <w:pPr>
              <w:spacing w:lineRule="auto"/>
            </w:pPr>
            <w:r>
              <w:rPr>
                <w:b/>
              </w:rPr>
              <w:t xml:space="preserve">Training Studio</w:t>
            </w:r>
          </w:p>
        </w:tc>
        <w:tc>
          <w:tcPr>
            <w:tcBorders>
              <w:top w:val="single" w:sz="1" w:space="0" w:color="000000"/>
              <w:left w:val="single" w:sz="1" w:space="0" w:color="000000"/>
              <w:bottom w:val="single" w:sz="1" w:space="0" w:color="000000"/>
            </w:tcBorders>
          </w:tcPr>
          <w:p>
            <w:pPr>
              <w:spacing w:lineRule="auto"/>
            </w:pPr>
            <w:r>
              <w:rPr/>
              <w:t xml:space="preserve">Corporate L&amp;D / Training</w:t>
            </w:r>
          </w:p>
        </w:tc>
        <w:tc>
          <w:tcPr>
            <w:tcBorders>
              <w:top w:val="single" w:sz="1" w:space="0" w:color="000000"/>
              <w:left w:val="single" w:sz="1" w:space="0" w:color="000000"/>
              <w:bottom w:val="single" w:sz="1" w:space="0" w:color="000000"/>
            </w:tcBorders>
          </w:tcPr>
          <w:p>
            <w:pPr>
              <w:spacing w:lineRule="auto"/>
            </w:pPr>
            <w:r>
              <w:rPr/>
              <w:t xml:space="preserve">Trainers, Training Companies, Learners</w:t>
            </w:r>
          </w:p>
        </w:tc>
        <w:tc>
          <w:tcPr>
            <w:tcBorders>
              <w:top w:val="single" w:sz="1" w:space="0" w:color="000000"/>
              <w:left w:val="single" w:sz="1" w:space="0" w:color="000000"/>
              <w:bottom w:val="single" w:sz="1" w:space="0" w:color="000000"/>
            </w:tcBorders>
          </w:tcPr>
          <w:p>
            <w:pPr>
              <w:spacing w:lineRule="auto"/>
            </w:pPr>
            <w:hyperlink r:id="rId6">
              <w:r>
                <w:rPr>
                  <w:color w:val="4472C4"/>
                </w:rPr>
                <w:t xml:space="preserve">trainingstudio.io</w:t>
              </w:r>
            </w:hyperlink>
          </w:p>
        </w:tc>
      </w:tr>
      <w:tr>
        <w:trPr>
          <w:cantSplit/>
        </w:trPr>
        <w:tc>
          <w:tcPr>
            <w:tcBorders>
              <w:top w:val="single" w:sz="1" w:space="0" w:color="000000"/>
              <w:bottom w:val="single" w:sz="1" w:space="0" w:color="000000"/>
            </w:tcBorders>
          </w:tcPr>
          <w:p>
            <w:pPr>
              <w:spacing w:lineRule="auto"/>
            </w:pPr>
            <w:r>
              <w:rPr>
                <w:b/>
              </w:rPr>
              <w:t xml:space="preserve">Recruitment Studio</w:t>
            </w:r>
          </w:p>
        </w:tc>
        <w:tc>
          <w:tcPr>
            <w:tcBorders>
              <w:top w:val="single" w:sz="1" w:space="0" w:color="000000"/>
              <w:left w:val="single" w:sz="1" w:space="0" w:color="000000"/>
              <w:bottom w:val="single" w:sz="1" w:space="0" w:color="000000"/>
            </w:tcBorders>
          </w:tcPr>
          <w:p>
            <w:pPr>
              <w:spacing w:lineRule="auto"/>
            </w:pPr>
            <w:r>
              <w:rPr/>
              <w:t xml:space="preserve">Talent Acquisition</w:t>
            </w:r>
          </w:p>
        </w:tc>
        <w:tc>
          <w:tcPr>
            <w:tcBorders>
              <w:top w:val="single" w:sz="1" w:space="0" w:color="000000"/>
              <w:left w:val="single" w:sz="1" w:space="0" w:color="000000"/>
              <w:bottom w:val="single" w:sz="1" w:space="0" w:color="000000"/>
            </w:tcBorders>
          </w:tcPr>
          <w:p>
            <w:pPr>
              <w:spacing w:lineRule="auto"/>
            </w:pPr>
            <w:r>
              <w:rPr/>
              <w:t xml:space="preserve">Recruiters, Agencies, Candidates</w:t>
            </w:r>
          </w:p>
        </w:tc>
        <w:tc>
          <w:tcPr>
            <w:tcBorders>
              <w:top w:val="single" w:sz="1" w:space="0" w:color="000000"/>
              <w:left w:val="single" w:sz="1" w:space="0" w:color="000000"/>
              <w:bottom w:val="single" w:sz="1" w:space="0" w:color="000000"/>
            </w:tcBorders>
          </w:tcPr>
          <w:p>
            <w:pPr>
              <w:spacing w:lineRule="auto"/>
            </w:pPr>
            <w:hyperlink r:id="rId7">
              <w:r>
                <w:rPr>
                  <w:color w:val="4472C4"/>
                </w:rPr>
                <w:t xml:space="preserve">recruitmentstudio.io</w:t>
              </w:r>
            </w:hyperlink>
          </w:p>
        </w:tc>
      </w:tr>
    </w:tbl>
    <w:p>
      <w:pPr>
        <w:spacing w:lineRule="auto"/>
      </w:pPr>
    </w:p>
    <w:p>
      <w:pPr>
        <w:spacing w:after="210" w:lineRule="auto"/>
      </w:pPr>
      <w:r>
        <w:rPr>
          <w:rFonts w:eastAsia="Georgia" w:cs="Georgia" w:ascii="Georgia" w:hAnsi="Georgia"/>
        </w:rPr>
        <w:t xml:space="preserve">Future Studios enabled by the same factory model may include Mentoring Studio, Wellness Studio, Consulting Studio, Teaching Studio, Sales Enablement Studio, and Legal Training Studio — each requiring only a configuration addition, not a new build.</w:t>
      </w:r>
    </w:p>
    <w:p>
      <w:pPr>
        <w:spacing w:line="271" w:before="240" w:lineRule="auto"/>
      </w:pPr>
      <w:bookmarkStart w:id="11" w:name="bm_2_2_the_universal_actor_model"/>
      <w:r>
        <w:rPr>
          <w:b/>
          <w:sz w:val="33"/>
        </w:rPr>
        <w:t xml:space="preserve">2.2 The Universal Actor Model</w:t>
      </w:r>
      <w:bookmarkEnd w:id="11"/>
    </w:p>
    <w:p>
      <w:pPr>
        <w:spacing w:after="210" w:lineRule="auto"/>
      </w:pPr>
      <w:r>
        <w:rPr/>
        <w:t xml:space="preserve">Every Studio operates on a four-tier actor hierarchy that is consistent across all verticals. The generic role names reflect the platform's architecture. Each Studio presents these roles with vertical-appropriate terminology in the UI.</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Generic Role</w:t>
            </w:r>
          </w:p>
        </w:tc>
        <w:tc>
          <w:tcPr>
            <w:tcBorders>
              <w:top w:val="single" w:sz="1" w:space="0" w:color="000000"/>
              <w:left w:val="single" w:sz="1" w:space="0" w:color="000000"/>
              <w:bottom w:val="single" w:sz="1" w:space="0" w:color="000000"/>
            </w:tcBorders>
          </w:tcPr>
          <w:p>
            <w:pPr>
              <w:spacing w:lineRule="auto"/>
            </w:pPr>
            <w:r>
              <w:rPr/>
              <w:t xml:space="preserve">Coaching Studio</w:t>
            </w:r>
          </w:p>
        </w:tc>
        <w:tc>
          <w:tcPr>
            <w:tcBorders>
              <w:top w:val="single" w:sz="1" w:space="0" w:color="000000"/>
              <w:left w:val="single" w:sz="1" w:space="0" w:color="000000"/>
              <w:bottom w:val="single" w:sz="1" w:space="0" w:color="000000"/>
            </w:tcBorders>
          </w:tcPr>
          <w:p>
            <w:pPr>
              <w:spacing w:lineRule="auto"/>
            </w:pPr>
            <w:r>
              <w:rPr/>
              <w:t xml:space="preserve">Training Studio</w:t>
            </w:r>
          </w:p>
        </w:tc>
        <w:tc>
          <w:tcPr>
            <w:tcBorders>
              <w:top w:val="single" w:sz="1" w:space="0" w:color="000000"/>
              <w:left w:val="single" w:sz="1" w:space="0" w:color="000000"/>
              <w:bottom w:val="single" w:sz="1" w:space="0" w:color="000000"/>
            </w:tcBorders>
          </w:tcPr>
          <w:p>
            <w:pPr>
              <w:spacing w:lineRule="auto"/>
            </w:pPr>
            <w:r>
              <w:rPr/>
              <w:t xml:space="preserve">Recruitment Studio</w:t>
            </w:r>
          </w:p>
        </w:tc>
        <w:tc>
          <w:tcPr>
            <w:tcBorders>
              <w:top w:val="single" w:sz="1" w:space="0" w:color="000000"/>
              <w:left w:val="single" w:sz="1" w:space="0" w:color="000000"/>
              <w:bottom w:val="single" w:sz="1" w:space="0" w:color="000000"/>
            </w:tcBorders>
          </w:tcPr>
          <w:p>
            <w:pPr>
              <w:spacing w:lineRule="auto"/>
            </w:pPr>
            <w:r>
              <w:rPr/>
              <w:t xml:space="preserve">Platform Scope</w:t>
            </w:r>
          </w:p>
        </w:tc>
      </w:tr>
      <w:tr>
        <w:trPr>
          <w:cantSplit/>
        </w:trPr>
        <w:tc>
          <w:tcPr>
            <w:tcBorders>
              <w:top w:val="single" w:sz="1" w:space="0" w:color="000000"/>
              <w:bottom w:val="single" w:sz="1" w:space="0" w:color="000000"/>
            </w:tcBorders>
          </w:tcPr>
          <w:p>
            <w:pPr>
              <w:spacing w:lineRule="auto"/>
            </w:pPr>
            <w:r>
              <w:rPr>
                <w:b/>
              </w:rPr>
              <w:t xml:space="preserve">SuperAdmin</w:t>
            </w:r>
          </w:p>
        </w:tc>
        <w:tc>
          <w:tcPr>
            <w:tcBorders>
              <w:top w:val="single" w:sz="1" w:space="0" w:color="000000"/>
              <w:left w:val="single" w:sz="1" w:space="0" w:color="000000"/>
              <w:bottom w:val="single" w:sz="1" w:space="0" w:color="000000"/>
            </w:tcBorders>
          </w:tcPr>
          <w:p>
            <w:pPr>
              <w:spacing w:lineRule="auto"/>
            </w:pPr>
            <w:r>
              <w:rPr/>
              <w:t xml:space="preserve">Platform Owner</w:t>
            </w:r>
          </w:p>
        </w:tc>
        <w:tc>
          <w:tcPr>
            <w:tcBorders>
              <w:top w:val="single" w:sz="1" w:space="0" w:color="000000"/>
              <w:left w:val="single" w:sz="1" w:space="0" w:color="000000"/>
              <w:bottom w:val="single" w:sz="1" w:space="0" w:color="000000"/>
            </w:tcBorders>
          </w:tcPr>
          <w:p>
            <w:pPr>
              <w:spacing w:lineRule="auto"/>
            </w:pPr>
            <w:r>
              <w:rPr/>
              <w:t xml:space="preserve">Platform Owner</w:t>
            </w:r>
          </w:p>
        </w:tc>
        <w:tc>
          <w:tcPr>
            <w:tcBorders>
              <w:top w:val="single" w:sz="1" w:space="0" w:color="000000"/>
              <w:left w:val="single" w:sz="1" w:space="0" w:color="000000"/>
              <w:bottom w:val="single" w:sz="1" w:space="0" w:color="000000"/>
            </w:tcBorders>
          </w:tcPr>
          <w:p>
            <w:pPr>
              <w:spacing w:lineRule="auto"/>
            </w:pPr>
            <w:r>
              <w:rPr/>
              <w:t xml:space="preserve">Platform Owner</w:t>
            </w:r>
          </w:p>
        </w:tc>
        <w:tc>
          <w:tcPr>
            <w:tcBorders>
              <w:top w:val="single" w:sz="1" w:space="0" w:color="000000"/>
              <w:left w:val="single" w:sz="1" w:space="0" w:color="000000"/>
              <w:bottom w:val="single" w:sz="1" w:space="0" w:color="000000"/>
            </w:tcBorders>
          </w:tcPr>
          <w:p>
            <w:pPr>
              <w:spacing w:lineRule="auto"/>
            </w:pPr>
            <w:r>
              <w:rPr/>
              <w:t xml:space="preserve">Across all tenants</w:t>
            </w:r>
          </w:p>
        </w:tc>
      </w:tr>
      <w:tr>
        <w:trPr>
          <w:cantSplit/>
        </w:trPr>
        <w:tc>
          <w:tcPr>
            <w:tcBorders>
              <w:top w:val="single" w:sz="1" w:space="0" w:color="000000"/>
              <w:bottom w:val="single" w:sz="1" w:space="0" w:color="000000"/>
            </w:tcBorders>
          </w:tcPr>
          <w:p>
            <w:pPr>
              <w:spacing w:lineRule="auto"/>
            </w:pPr>
            <w:r>
              <w:rPr>
                <w:b/>
              </w:rPr>
              <w:t xml:space="preserve">Company</w:t>
            </w:r>
          </w:p>
        </w:tc>
        <w:tc>
          <w:tcPr>
            <w:tcBorders>
              <w:top w:val="single" w:sz="1" w:space="0" w:color="000000"/>
              <w:left w:val="single" w:sz="1" w:space="0" w:color="000000"/>
              <w:bottom w:val="single" w:sz="1" w:space="0" w:color="000000"/>
            </w:tcBorders>
          </w:tcPr>
          <w:p>
            <w:pPr>
              <w:spacing w:lineRule="auto"/>
            </w:pPr>
            <w:r>
              <w:rPr/>
              <w:t xml:space="preserve">Coaching Firm</w:t>
            </w:r>
          </w:p>
        </w:tc>
        <w:tc>
          <w:tcPr>
            <w:tcBorders>
              <w:top w:val="single" w:sz="1" w:space="0" w:color="000000"/>
              <w:left w:val="single" w:sz="1" w:space="0" w:color="000000"/>
              <w:bottom w:val="single" w:sz="1" w:space="0" w:color="000000"/>
            </w:tcBorders>
          </w:tcPr>
          <w:p>
            <w:pPr>
              <w:spacing w:lineRule="auto"/>
            </w:pPr>
            <w:r>
              <w:rPr/>
              <w:t xml:space="preserve">Training Company</w:t>
            </w:r>
          </w:p>
        </w:tc>
        <w:tc>
          <w:tcPr>
            <w:tcBorders>
              <w:top w:val="single" w:sz="1" w:space="0" w:color="000000"/>
              <w:left w:val="single" w:sz="1" w:space="0" w:color="000000"/>
              <w:bottom w:val="single" w:sz="1" w:space="0" w:color="000000"/>
            </w:tcBorders>
          </w:tcPr>
          <w:p>
            <w:pPr>
              <w:spacing w:lineRule="auto"/>
            </w:pPr>
            <w:r>
              <w:rPr/>
              <w:t xml:space="preserve">Recruitment Agency</w:t>
            </w:r>
          </w:p>
        </w:tc>
        <w:tc>
          <w:tcPr>
            <w:tcBorders>
              <w:top w:val="single" w:sz="1" w:space="0" w:color="000000"/>
              <w:left w:val="single" w:sz="1" w:space="0" w:color="000000"/>
              <w:bottom w:val="single" w:sz="1" w:space="0" w:color="000000"/>
            </w:tcBorders>
          </w:tcPr>
          <w:p>
            <w:pPr>
              <w:spacing w:lineRule="auto"/>
            </w:pPr>
            <w:r>
              <w:rPr/>
              <w:t xml:space="preserve">Within their tenant</w:t>
            </w:r>
          </w:p>
        </w:tc>
      </w:tr>
      <w:tr>
        <w:trPr>
          <w:cantSplit/>
        </w:trPr>
        <w:tc>
          <w:tcPr>
            <w:tcBorders>
              <w:top w:val="single" w:sz="1" w:space="0" w:color="000000"/>
              <w:bottom w:val="single" w:sz="1" w:space="0" w:color="000000"/>
            </w:tcBorders>
          </w:tcPr>
          <w:p>
            <w:pPr>
              <w:spacing w:lineRule="auto"/>
            </w:pPr>
            <w:r>
              <w:rPr>
                <w:b/>
              </w:rPr>
              <w:t xml:space="preserve">Professional</w:t>
            </w:r>
          </w:p>
        </w:tc>
        <w:tc>
          <w:tcPr>
            <w:tcBorders>
              <w:top w:val="single" w:sz="1" w:space="0" w:color="000000"/>
              <w:left w:val="single" w:sz="1" w:space="0" w:color="000000"/>
              <w:bottom w:val="single" w:sz="1" w:space="0" w:color="000000"/>
            </w:tcBorders>
          </w:tcPr>
          <w:p>
            <w:pPr>
              <w:spacing w:lineRule="auto"/>
            </w:pPr>
            <w:r>
              <w:rPr/>
              <w:t xml:space="preserve">Coach</w:t>
            </w:r>
          </w:p>
        </w:tc>
        <w:tc>
          <w:tcPr>
            <w:tcBorders>
              <w:top w:val="single" w:sz="1" w:space="0" w:color="000000"/>
              <w:left w:val="single" w:sz="1" w:space="0" w:color="000000"/>
              <w:bottom w:val="single" w:sz="1" w:space="0" w:color="000000"/>
            </w:tcBorders>
          </w:tcPr>
          <w:p>
            <w:pPr>
              <w:spacing w:lineRule="auto"/>
            </w:pPr>
            <w:r>
              <w:rPr/>
              <w:t xml:space="preserve">Trainer / Facilitator</w:t>
            </w:r>
          </w:p>
        </w:tc>
        <w:tc>
          <w:tcPr>
            <w:tcBorders>
              <w:top w:val="single" w:sz="1" w:space="0" w:color="000000"/>
              <w:left w:val="single" w:sz="1" w:space="0" w:color="000000"/>
              <w:bottom w:val="single" w:sz="1" w:space="0" w:color="000000"/>
            </w:tcBorders>
          </w:tcPr>
          <w:p>
            <w:pPr>
              <w:spacing w:lineRule="auto"/>
            </w:pPr>
            <w:r>
              <w:rPr/>
              <w:t xml:space="preserve">Recruiter</w:t>
            </w:r>
          </w:p>
        </w:tc>
        <w:tc>
          <w:tcPr>
            <w:tcBorders>
              <w:top w:val="single" w:sz="1" w:space="0" w:color="000000"/>
              <w:left w:val="single" w:sz="1" w:space="0" w:color="000000"/>
              <w:bottom w:val="single" w:sz="1" w:space="0" w:color="000000"/>
            </w:tcBorders>
          </w:tcPr>
          <w:p>
            <w:pPr>
              <w:spacing w:lineRule="auto"/>
            </w:pPr>
            <w:r>
              <w:rPr/>
              <w:t xml:space="preserve">Independently or within a Company</w:t>
            </w:r>
          </w:p>
        </w:tc>
      </w:tr>
      <w:tr>
        <w:trPr>
          <w:cantSplit/>
        </w:trPr>
        <w:tc>
          <w:tcPr>
            <w:tcBorders>
              <w:top w:val="single" w:sz="1" w:space="0" w:color="000000"/>
              <w:bottom w:val="single" w:sz="1" w:space="0" w:color="000000"/>
            </w:tcBorders>
          </w:tcPr>
          <w:p>
            <w:pPr>
              <w:spacing w:lineRule="auto"/>
            </w:pPr>
            <w:r>
              <w:rPr>
                <w:b/>
              </w:rPr>
              <w:t xml:space="preserve">Individual</w:t>
            </w:r>
          </w:p>
        </w:tc>
        <w:tc>
          <w:tcPr>
            <w:tcBorders>
              <w:top w:val="single" w:sz="1" w:space="0" w:color="000000"/>
              <w:left w:val="single" w:sz="1" w:space="0" w:color="000000"/>
              <w:bottom w:val="single" w:sz="1" w:space="0" w:color="000000"/>
            </w:tcBorders>
          </w:tcPr>
          <w:p>
            <w:pPr>
              <w:spacing w:lineRule="auto"/>
            </w:pPr>
            <w:r>
              <w:rPr/>
              <w:t xml:space="preserve">Coachee</w:t>
            </w:r>
          </w:p>
        </w:tc>
        <w:tc>
          <w:tcPr>
            <w:tcBorders>
              <w:top w:val="single" w:sz="1" w:space="0" w:color="000000"/>
              <w:left w:val="single" w:sz="1" w:space="0" w:color="000000"/>
              <w:bottom w:val="single" w:sz="1" w:space="0" w:color="000000"/>
            </w:tcBorders>
          </w:tcPr>
          <w:p>
            <w:pPr>
              <w:spacing w:lineRule="auto"/>
            </w:pPr>
            <w:r>
              <w:rPr/>
              <w:t xml:space="preserve">Learner / Trainee</w:t>
            </w:r>
          </w:p>
        </w:tc>
        <w:tc>
          <w:tcPr>
            <w:tcBorders>
              <w:top w:val="single" w:sz="1" w:space="0" w:color="000000"/>
              <w:left w:val="single" w:sz="1" w:space="0" w:color="000000"/>
              <w:bottom w:val="single" w:sz="1" w:space="0" w:color="000000"/>
            </w:tcBorders>
          </w:tcPr>
          <w:p>
            <w:pPr>
              <w:spacing w:lineRule="auto"/>
            </w:pPr>
            <w:r>
              <w:rPr/>
              <w:t xml:space="preserve">Candidate</w:t>
            </w:r>
          </w:p>
        </w:tc>
        <w:tc>
          <w:tcPr>
            <w:tcBorders>
              <w:top w:val="single" w:sz="1" w:space="0" w:color="000000"/>
              <w:left w:val="single" w:sz="1" w:space="0" w:color="000000"/>
              <w:bottom w:val="single" w:sz="1" w:space="0" w:color="000000"/>
            </w:tcBorders>
          </w:tcPr>
          <w:p>
            <w:pPr>
              <w:spacing w:lineRule="auto"/>
            </w:pPr>
            <w:r>
              <w:rPr/>
              <w:t xml:space="preserve">Within their Professional's scope</w:t>
            </w:r>
          </w:p>
        </w:tc>
      </w:tr>
    </w:tbl>
    <w:p>
      <w:pPr>
        <w:spacing w:lineRule="auto"/>
      </w:pPr>
    </w:p>
    <w:p>
      <w:pPr>
        <w:spacing w:after="210" w:lineRule="auto"/>
      </w:pPr>
      <w:r>
        <w:rPr>
          <w:b/>
        </w:rPr>
        <w:t xml:space="preserve">Key architectural principle:</w:t>
      </w:r>
      <w:r>
        <w:rPr>
          <w:rFonts w:eastAsia="Georgia" w:cs="Georgia" w:ascii="Georgia" w:hAnsi="Georgia"/>
        </w:rPr>
        <w:t xml:space="preserve"> A Professional can operate in two modes — </w:t>
      </w:r>
      <w:r>
        <w:rPr>
          <w:b/>
        </w:rPr>
        <w:t xml:space="preserve">independently</w:t>
      </w:r>
      <w:r>
        <w:rPr/>
        <w:t xml:space="preserve">, running their own practice with no company affiliation, or </w:t>
      </w:r>
      <w:r>
        <w:rPr>
          <w:b/>
        </w:rPr>
        <w:t xml:space="preserve">as part of a Company</w:t>
      </w:r>
      <w:r>
        <w:rPr>
          <w:rFonts w:eastAsia="Georgia" w:cs="Georgia" w:ascii="Georgia" w:hAnsi="Georgia"/>
        </w:rPr>
        <w:t xml:space="preserve">, employed or contracted under a Company account. In both modes, the Professional's experience, capabilities, and data model are structurally identical. Company affiliation adds organizational hierarchy, shared resource libraries, and aggregate reporting — it does not change what a Professional can do with their own clients.</w:t>
      </w:r>
    </w:p>
    <w:p>
      <w:pPr>
        <w:spacing w:line="271" w:before="240" w:lineRule="auto"/>
      </w:pPr>
      <w:bookmarkStart w:id="12" w:name="bm_2_3_the_multi_tenancy_architecture"/>
      <w:r>
        <w:rPr>
          <w:b/>
          <w:sz w:val="33"/>
        </w:rPr>
        <w:t xml:space="preserve">2.3 The Multi-Tenancy Architecture</w:t>
      </w:r>
      <w:bookmarkEnd w:id="12"/>
    </w:p>
    <w:p>
      <w:pPr>
        <w:spacing w:after="210" w:lineRule="auto"/>
      </w:pPr>
      <w:r>
        <w:rPr/>
        <w:t xml:space="preserve">StudioVerse implements a </w:t>
      </w:r>
      <w:r>
        <w:rPr>
          <w:b/>
        </w:rPr>
        <w:t xml:space="preserve">shared-database, shared-schema multi-tenancy model</w:t>
      </w:r>
      <w:r>
        <w:rPr/>
        <w:t xml:space="preserve"> with strict logical data isolation enforced at the platform layer.</w:t>
      </w:r>
    </w:p>
    <w:p>
      <w:pPr>
        <w:spacing w:after="210" w:lineRule="auto"/>
      </w:pPr>
      <w:r>
        <w:rPr>
          <w:b/>
        </w:rPr>
        <w:t xml:space="preserve">Tenant = Studio Type (Industry Vertical).</w:t>
      </w:r>
      <w:r>
        <w:rPr>
          <w:rFonts w:eastAsia="Georgia" w:cs="Georgia" w:ascii="Georgia" w:hAnsi="Georgia"/>
        </w:rPr>
        <w:t xml:space="preserve"> A tenant is not a company. A tenant is the Studio type — Coaching Studio, Training Studio, or Recruitment Studio. Each Studio is a separate tenant context, with its own user population, content catalog, branding, and data environment.</w:t>
      </w:r>
    </w:p>
    <w:p>
      <w:pPr>
        <w:spacing w:after="210" w:lineRule="auto"/>
      </w:pPr>
      <w:r>
        <w:rPr>
          <w:b/>
        </w:rPr>
        <w:t xml:space="preserve">Within each tenant, Company and Professional are organizational units, not isolation boundaries.</w:t>
      </w:r>
      <w:r>
        <w:rPr/>
        <w:t xml:space="preserve"> Data isolation between Companies and between Professionals is enforced at the application layer through the </w:t>
      </w:r>
      <w:r>
        <w:rPr>
          <w:rStyle w:val="VerbatimChar"/>
          <w:rFonts w:eastAsia="menlo" w:cs="menlo" w:ascii="menlo" w:hAnsi="menlo"/>
          <w:shd w:val="clear" w:color="auto" w:fill="F8F8FA"/>
        </w:rPr>
        <w:t xml:space="preserve">userContext</w:t>
      </w:r>
      <w:r>
        <w:rPr>
          <w:rFonts w:eastAsia="Georgia" w:cs="Georgia" w:ascii="Georgia" w:hAnsi="Georgia"/>
        </w:rPr>
        <w:t xml:space="preserve"> document — a precomputed RBAC object that defines exactly what every authenticated user can see and do within their tenant context.</w:t>
      </w:r>
    </w:p>
    <w:p>
      <w:pPr>
        <w:spacing w:after="210" w:lineRule="auto"/>
      </w:pPr>
      <w:r>
        <w:rPr>
          <w:b/>
        </w:rPr>
        <w:t xml:space="preserve">Isolation rules:</w:t>
      </w:r>
    </w:p>
    <w:p>
      <w:pPr>
        <w:numPr>
          <w:ilvl w:val="0"/>
          <w:numId w:val="2"/>
        </w:numPr>
        <w:spacing w:lineRule="auto"/>
      </w:pPr>
      <w:r>
        <w:rPr>
          <w:rFonts w:eastAsia="Georgia" w:cs="Georgia" w:ascii="Georgia" w:hAnsi="Georgia"/>
        </w:rPr>
        <w:t xml:space="preserve">A SuperAdmin has cross-tenant, cross-company read access for platform oversight — no write access to tenant data</w:t>
      </w:r>
    </w:p>
    <w:p>
      <w:pPr>
        <w:numPr>
          <w:ilvl w:val="0"/>
          <w:numId w:val="2"/>
        </w:numPr>
        <w:spacing w:lineRule="auto"/>
      </w:pPr>
      <w:r>
        <w:rPr>
          <w:rFonts w:eastAsia="Georgia" w:cs="Georgia" w:ascii="Georgia" w:hAnsi="Georgia"/>
        </w:rPr>
        <w:t xml:space="preserve">A Company can see all Professionals and Individuals within their organization — zero visibility into other Companies</w:t>
      </w:r>
    </w:p>
    <w:p>
      <w:pPr>
        <w:numPr>
          <w:ilvl w:val="0"/>
          <w:numId w:val="2"/>
        </w:numPr>
        <w:spacing w:lineRule="auto"/>
      </w:pPr>
      <w:r>
        <w:rPr>
          <w:rFonts w:eastAsia="Georgia" w:cs="Georgia" w:ascii="Georgia" w:hAnsi="Georgia"/>
        </w:rPr>
        <w:t xml:space="preserve">A Professional (whether solo or company-affiliated) can see only their own Individuals (clients, learners, candidates) — zero visibility into another Professional's relationships, even within the same Company</w:t>
      </w:r>
    </w:p>
    <w:p>
      <w:pPr>
        <w:numPr>
          <w:ilvl w:val="0"/>
          <w:numId w:val="2"/>
        </w:numPr>
        <w:spacing w:lineRule="auto"/>
      </w:pPr>
      <w:r>
        <w:rPr>
          <w:rFonts w:eastAsia="Georgia" w:cs="Georgia" w:ascii="Georgia" w:hAnsi="Georgia"/>
        </w:rPr>
        <w:t xml:space="preserve">An Individual sees only their own assignments, programs, tools, reports, and events — zero visibility into other Individuals' data</w:t>
      </w:r>
    </w:p>
    <w:p>
      <w:pPr>
        <w:spacing w:after="210" w:lineRule="auto"/>
      </w:pPr>
      <w:r>
        <w:rPr/>
        <w:t xml:space="preserve">This architecture ensures that CoachingStudio's data model is ready for enterprise deployment, GDPR compliance, and multi-region scaling from day one.</w:t>
      </w:r>
    </w:p>
    <w:p>
      <w:pPr>
        <w:spacing w:line="271" w:before="240" w:lineRule="auto"/>
      </w:pPr>
      <w:bookmarkStart w:id="13" w:name="bm_2_4_the_three_layer_product_ar_f8a4f3"/>
      <w:r>
        <w:rPr>
          <w:b/>
          <w:sz w:val="33"/>
        </w:rPr>
        <w:t xml:space="preserve">2.4 The Three-Layer Product Architecture</w:t>
      </w:r>
      <w:bookmarkEnd w:id="13"/>
    </w:p>
    <w:p>
      <w:pPr>
        <w:spacing w:after="210" w:lineRule="auto"/>
      </w:pPr>
      <w:r>
        <w:rPr/>
        <w:t xml:space="preserve">StudioVerse delivers value through three tightly integrated product layers, each providing standalone value while creating compounding power when used together.</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Layer 1 — The Learning Management System (Programs)</w:t>
      </w:r>
    </w:p>
    <w:p>
      <w:pPr>
        <w:spacing w:after="210" w:lineRule="auto"/>
      </w:pPr>
      <w:r>
        <w:rPr/>
        <w:t xml:space="preserve">The Programs module is StudioVerse's content delivery backbone. It supports the full spectrum of modern professional development media across all three Studio verticals.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Content Type</w:t>
            </w:r>
          </w:p>
        </w:tc>
        <w:tc>
          <w:tcPr>
            <w:tcBorders>
              <w:top w:val="single" w:sz="1" w:space="0" w:color="000000"/>
              <w:left w:val="single" w:sz="1" w:space="0" w:color="000000"/>
              <w:bottom w:val="single" w:sz="1" w:space="0" w:color="000000"/>
            </w:tcBorders>
          </w:tcPr>
          <w:p>
            <w:pPr>
              <w:spacing w:lineRule="auto"/>
            </w:pPr>
            <w:r>
              <w:rPr/>
              <w:t xml:space="preserve">Format</w:t>
            </w:r>
          </w:p>
        </w:tc>
        <w:tc>
          <w:tcPr>
            <w:tcBorders>
              <w:top w:val="single" w:sz="1" w:space="0" w:color="000000"/>
              <w:left w:val="single" w:sz="1" w:space="0" w:color="000000"/>
              <w:bottom w:val="single" w:sz="1" w:space="0" w:color="000000"/>
            </w:tcBorders>
          </w:tcPr>
          <w:p>
            <w:pPr>
              <w:spacing w:lineRule="auto"/>
            </w:pPr>
            <w:r>
              <w:rPr/>
              <w:t xml:space="preserve">Delivery Mechanism</w:t>
            </w:r>
          </w:p>
        </w:tc>
      </w:tr>
      <w:tr>
        <w:trPr>
          <w:cantSplit/>
        </w:trPr>
        <w:tc>
          <w:tcPr>
            <w:tcBorders>
              <w:top w:val="single" w:sz="1" w:space="0" w:color="000000"/>
              <w:bottom w:val="single" w:sz="1" w:space="0" w:color="000000"/>
            </w:tcBorders>
          </w:tcPr>
          <w:p>
            <w:pPr>
              <w:spacing w:lineRule="auto"/>
            </w:pPr>
            <w:r>
              <w:rPr/>
              <w:t xml:space="preserve">Video Sessions</w:t>
            </w:r>
          </w:p>
        </w:tc>
        <w:tc>
          <w:tcPr>
            <w:tcBorders>
              <w:top w:val="single" w:sz="1" w:space="0" w:color="000000"/>
              <w:left w:val="single" w:sz="1" w:space="0" w:color="000000"/>
              <w:bottom w:val="single" w:sz="1" w:space="0" w:color="000000"/>
            </w:tcBorders>
          </w:tcPr>
          <w:p>
            <w:pPr>
              <w:spacing w:lineRule="auto"/>
            </w:pPr>
            <w:r>
              <w:rPr/>
              <w:t xml:space="preserve">YouTube / Vimeo embeds</w:t>
            </w:r>
          </w:p>
        </w:tc>
        <w:tc>
          <w:tcPr>
            <w:tcBorders>
              <w:top w:val="single" w:sz="1" w:space="0" w:color="000000"/>
              <w:left w:val="single" w:sz="1" w:space="0" w:color="000000"/>
              <w:bottom w:val="single" w:sz="1" w:space="0" w:color="000000"/>
            </w:tcBorders>
          </w:tcPr>
          <w:p>
            <w:pPr>
              <w:spacing w:lineRule="auto"/>
            </w:pPr>
            <w:r>
              <w:rPr/>
              <w:t xml:space="preserve">Drip-scheduled or instant release</w:t>
            </w:r>
          </w:p>
        </w:tc>
      </w:tr>
      <w:tr>
        <w:trPr>
          <w:cantSplit/>
        </w:trPr>
        <w:tc>
          <w:tcPr>
            <w:tcBorders>
              <w:top w:val="single" w:sz="1" w:space="0" w:color="000000"/>
              <w:bottom w:val="single" w:sz="1" w:space="0" w:color="000000"/>
            </w:tcBorders>
          </w:tcPr>
          <w:p>
            <w:pPr>
              <w:spacing w:lineRule="auto"/>
            </w:pPr>
            <w:r>
              <w:rPr/>
              <w:t xml:space="preserve">Podcast / Audio</w:t>
            </w:r>
          </w:p>
        </w:tc>
        <w:tc>
          <w:tcPr>
            <w:tcBorders>
              <w:top w:val="single" w:sz="1" w:space="0" w:color="000000"/>
              <w:left w:val="single" w:sz="1" w:space="0" w:color="000000"/>
              <w:bottom w:val="single" w:sz="1" w:space="0" w:color="000000"/>
            </w:tcBorders>
          </w:tcPr>
          <w:p>
            <w:pPr>
              <w:spacing w:lineRule="auto"/>
            </w:pPr>
            <w:r>
              <w:rPr/>
              <w:t xml:space="preserve">Audio streaming</w:t>
            </w:r>
          </w:p>
        </w:tc>
        <w:tc>
          <w:tcPr>
            <w:tcBorders>
              <w:top w:val="single" w:sz="1" w:space="0" w:color="000000"/>
              <w:left w:val="single" w:sz="1" w:space="0" w:color="000000"/>
              <w:bottom w:val="single" w:sz="1" w:space="0" w:color="000000"/>
            </w:tcBorders>
          </w:tcPr>
          <w:p>
            <w:pPr>
              <w:spacing w:lineRule="auto"/>
            </w:pPr>
            <w:r>
              <w:rPr/>
              <w:t xml:space="preserve">Playlist-style sequential delivery</w:t>
            </w:r>
          </w:p>
        </w:tc>
      </w:tr>
      <w:tr>
        <w:trPr>
          <w:cantSplit/>
        </w:trPr>
        <w:tc>
          <w:tcPr>
            <w:tcBorders>
              <w:top w:val="single" w:sz="1" w:space="0" w:color="000000"/>
              <w:bottom w:val="single" w:sz="1" w:space="0" w:color="000000"/>
            </w:tcBorders>
          </w:tcPr>
          <w:p>
            <w:pPr>
              <w:spacing w:lineRule="auto"/>
            </w:pPr>
            <w:r>
              <w:rPr/>
              <w:t xml:space="preserve">Documents / Worksheets</w:t>
            </w:r>
          </w:p>
        </w:tc>
        <w:tc>
          <w:tcPr>
            <w:tcBorders>
              <w:top w:val="single" w:sz="1" w:space="0" w:color="000000"/>
              <w:left w:val="single" w:sz="1" w:space="0" w:color="000000"/>
              <w:bottom w:val="single" w:sz="1" w:space="0" w:color="000000"/>
            </w:tcBorders>
          </w:tcPr>
          <w:p>
            <w:pPr>
              <w:spacing w:lineRule="auto"/>
            </w:pPr>
            <w:r>
              <w:rPr/>
              <w:t xml:space="preserve">PDF upload and viewer</w:t>
            </w:r>
          </w:p>
        </w:tc>
        <w:tc>
          <w:tcPr>
            <w:tcBorders>
              <w:top w:val="single" w:sz="1" w:space="0" w:color="000000"/>
              <w:left w:val="single" w:sz="1" w:space="0" w:color="000000"/>
              <w:bottom w:val="single" w:sz="1" w:space="0" w:color="000000"/>
            </w:tcBorders>
          </w:tcPr>
          <w:p>
            <w:pPr>
              <w:spacing w:lineRule="auto"/>
            </w:pPr>
            <w:r>
              <w:rPr/>
              <w:t xml:space="preserve">Downloadable with access controls</w:t>
            </w:r>
          </w:p>
        </w:tc>
      </w:tr>
      <w:tr>
        <w:trPr>
          <w:cantSplit/>
        </w:trPr>
        <w:tc>
          <w:tcPr>
            <w:tcBorders>
              <w:top w:val="single" w:sz="1" w:space="0" w:color="000000"/>
              <w:bottom w:val="single" w:sz="1" w:space="0" w:color="000000"/>
            </w:tcBorders>
          </w:tcPr>
          <w:p>
            <w:pPr>
              <w:spacing w:lineRule="auto"/>
            </w:pPr>
            <w:r>
              <w:rPr/>
              <w:t xml:space="preserve">Study Materials</w:t>
            </w:r>
          </w:p>
        </w:tc>
        <w:tc>
          <w:tcPr>
            <w:tcBorders>
              <w:top w:val="single" w:sz="1" w:space="0" w:color="000000"/>
              <w:left w:val="single" w:sz="1" w:space="0" w:color="000000"/>
              <w:bottom w:val="single" w:sz="1" w:space="0" w:color="000000"/>
            </w:tcBorders>
          </w:tcPr>
          <w:p>
            <w:pPr>
              <w:spacing w:lineRule="auto"/>
            </w:pPr>
            <w:r>
              <w:rPr/>
              <w:t xml:space="preserve">Rich text articles</w:t>
            </w:r>
          </w:p>
        </w:tc>
        <w:tc>
          <w:tcPr>
            <w:tcBorders>
              <w:top w:val="single" w:sz="1" w:space="0" w:color="000000"/>
              <w:left w:val="single" w:sz="1" w:space="0" w:color="000000"/>
              <w:bottom w:val="single" w:sz="1" w:space="0" w:color="000000"/>
            </w:tcBorders>
          </w:tcPr>
          <w:p>
            <w:pPr>
              <w:spacing w:lineRule="auto"/>
            </w:pPr>
            <w:r>
              <w:rPr/>
              <w:t xml:space="preserve">Browser-rendered, mobile-optimized</w:t>
            </w:r>
          </w:p>
        </w:tc>
      </w:tr>
      <w:tr>
        <w:trPr>
          <w:cantSplit/>
        </w:trPr>
        <w:tc>
          <w:tcPr>
            <w:tcBorders>
              <w:top w:val="single" w:sz="1" w:space="0" w:color="000000"/>
              <w:bottom w:val="single" w:sz="1" w:space="0" w:color="000000"/>
            </w:tcBorders>
          </w:tcPr>
          <w:p>
            <w:pPr>
              <w:spacing w:lineRule="auto"/>
            </w:pPr>
            <w:r>
              <w:rPr/>
              <w:t xml:space="preserve">Slide Decks</w:t>
            </w:r>
          </w:p>
        </w:tc>
        <w:tc>
          <w:tcPr>
            <w:tcBorders>
              <w:top w:val="single" w:sz="1" w:space="0" w:color="000000"/>
              <w:left w:val="single" w:sz="1" w:space="0" w:color="000000"/>
              <w:bottom w:val="single" w:sz="1" w:space="0" w:color="000000"/>
            </w:tcBorders>
          </w:tcPr>
          <w:p>
            <w:pPr>
              <w:spacing w:lineRule="auto"/>
            </w:pPr>
            <w:r>
              <w:rPr/>
              <w:t xml:space="preserve">PDF embedded viewer</w:t>
            </w:r>
          </w:p>
        </w:tc>
        <w:tc>
          <w:tcPr>
            <w:tcBorders>
              <w:top w:val="single" w:sz="1" w:space="0" w:color="000000"/>
              <w:left w:val="single" w:sz="1" w:space="0" w:color="000000"/>
              <w:bottom w:val="single" w:sz="1" w:space="0" w:color="000000"/>
            </w:tcBorders>
          </w:tcPr>
          <w:p>
            <w:pPr>
              <w:spacing w:lineRule="auto"/>
            </w:pPr>
            <w:r>
              <w:rPr/>
              <w:t xml:space="preserve">Session-linked resources</w:t>
            </w:r>
          </w:p>
        </w:tc>
      </w:tr>
    </w:tbl>
    <w:p>
      <w:pPr>
        <w:spacing w:lineRule="auto"/>
      </w:pPr>
    </w:p>
    <w:p>
      <w:pPr>
        <w:spacing w:after="210" w:lineRule="auto"/>
      </w:pPr>
      <w:r>
        <w:rPr>
          <w:b/>
        </w:rPr>
        <w:t xml:space="preserve">Key LMS Capabilities:</w:t>
      </w:r>
    </w:p>
    <w:p>
      <w:pPr>
        <w:numPr>
          <w:ilvl w:val="0"/>
          <w:numId w:val="3"/>
        </w:numPr>
        <w:spacing w:lineRule="auto"/>
      </w:pPr>
      <w:r>
        <w:rPr>
          <w:b/>
        </w:rPr>
        <w:t xml:space="preserve">Program Catalog</w:t>
      </w:r>
      <w:r>
        <w:rPr>
          <w:rFonts w:eastAsia="Georgia" w:cs="Georgia" w:ascii="Georgia" w:hAnsi="Georgia"/>
        </w:rPr>
        <w:t xml:space="preserve"> — SuperAdmin-curated global library of free and paid programs available across all Studio users. Professionals can browse, assign, or recommend catalog items to their Individuals.</w:t>
      </w:r>
    </w:p>
    <w:p>
      <w:pPr>
        <w:numPr>
          <w:ilvl w:val="0"/>
          <w:numId w:val="3"/>
        </w:numPr>
        <w:spacing w:lineRule="auto"/>
      </w:pPr>
      <w:r>
        <w:rPr>
          <w:b/>
        </w:rPr>
        <w:t xml:space="preserve">Drip Content Scheduling</w:t>
      </w:r>
      <w:r>
        <w:rPr>
          <w:rFonts w:eastAsia="Georgia" w:cs="Georgia" w:ascii="Georgia" w:hAnsi="Georgia"/>
        </w:rPr>
        <w:t xml:space="preserve"> — Professionals configure programs to unlock content sequentially — preventing overwhelm and creating structured learning journeys over days or weeks.</w:t>
      </w:r>
    </w:p>
    <w:p>
      <w:pPr>
        <w:numPr>
          <w:ilvl w:val="0"/>
          <w:numId w:val="3"/>
        </w:numPr>
        <w:spacing w:lineRule="auto"/>
      </w:pPr>
      <w:r>
        <w:rPr>
          <w:b/>
        </w:rPr>
        <w:t xml:space="preserve">Progress Tracking</w:t>
      </w:r>
      <w:r>
        <w:rPr>
          <w:rFonts w:eastAsia="Georgia" w:cs="Georgia" w:ascii="Georgia" w:hAnsi="Georgia"/>
        </w:rPr>
        <w:t xml:space="preserve"> — Individuals mark modules as complete. Professionals see a real-time checklist view of each client's progress through assigned material.</w:t>
      </w:r>
    </w:p>
    <w:p>
      <w:pPr>
        <w:numPr>
          <w:ilvl w:val="0"/>
          <w:numId w:val="3"/>
        </w:numPr>
        <w:spacing w:lineRule="auto"/>
      </w:pPr>
      <w:r>
        <w:rPr>
          <w:b/>
        </w:rPr>
        <w:t xml:space="preserve">Assignment Engine</w:t>
      </w:r>
      <w:r>
        <w:rPr>
          <w:rFonts w:eastAsia="Georgia" w:cs="Georgia" w:ascii="Georgia" w:hAnsi="Georgia"/>
        </w:rPr>
        <w:t xml:space="preserve"> — Professionals assign programs to individual clients or entire cohorts in bulk. A single action delivers a curated 6-week program to 30 learners simultaneously.</w:t>
      </w:r>
    </w:p>
    <w:p>
      <w:pPr>
        <w:numPr>
          <w:ilvl w:val="0"/>
          <w:numId w:val="3"/>
        </w:numPr>
        <w:spacing w:lineRule="auto"/>
      </w:pPr>
      <w:r>
        <w:rPr>
          <w:b/>
        </w:rPr>
        <w:t xml:space="preserve">Free and Paid Programs</w:t>
      </w:r>
      <w:r>
        <w:rPr>
          <w:rFonts w:eastAsia="Georgia" w:cs="Georgia" w:ascii="Georgia" w:hAnsi="Georgia"/>
        </w:rPr>
        <w:t xml:space="preserve"> — Content can be free (open access), Professional-assigned (exclusive to assigned users), or commercially available for individual purchase via the marketplace.</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Layer 2 — The Assessment Engine (Tools / The Playground)</w:t>
      </w:r>
    </w:p>
    <w:p>
      <w:pPr>
        <w:spacing w:after="210" w:lineRule="auto"/>
      </w:pPr>
      <w:r>
        <w:rPr>
          <w:rFonts w:eastAsia="Georgia" w:cs="Georgia" w:ascii="Georgia" w:hAnsi="Georgia"/>
        </w:rPr>
        <w:t xml:space="preserve">The Tools module is StudioVerse's most strategically differentiated feature set. Where the LMS delivers knowledge, the Playground generates data — structured, longitudinal records of an Individual's professional and personal evolution.</w:t>
      </w:r>
    </w:p>
    <w:p>
      <w:pPr>
        <w:spacing w:after="210" w:lineRule="auto"/>
      </w:pPr>
      <w:r>
        <w:rPr/>
        <w:t xml:space="preserve">The foundational tool suite for Coaching Studio, built on Dinesh Wadhwani's CoachDinesh methodology, includes four proprietary assessments: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Assessment Tool</w:t>
            </w:r>
          </w:p>
        </w:tc>
        <w:tc>
          <w:tcPr>
            <w:tcBorders>
              <w:top w:val="single" w:sz="1" w:space="0" w:color="000000"/>
              <w:left w:val="single" w:sz="1" w:space="0" w:color="000000"/>
              <w:bottom w:val="single" w:sz="1" w:space="0" w:color="000000"/>
            </w:tcBorders>
          </w:tcPr>
          <w:p>
            <w:pPr>
              <w:spacing w:lineRule="auto"/>
            </w:pPr>
            <w:r>
              <w:rPr/>
              <w:t xml:space="preserve">What It Measures</w:t>
            </w:r>
          </w:p>
        </w:tc>
        <w:tc>
          <w:tcPr>
            <w:tcBorders>
              <w:top w:val="single" w:sz="1" w:space="0" w:color="000000"/>
              <w:left w:val="single" w:sz="1" w:space="0" w:color="000000"/>
              <w:bottom w:val="single" w:sz="1" w:space="0" w:color="000000"/>
            </w:tcBorders>
          </w:tcPr>
          <w:p>
            <w:pPr>
              <w:spacing w:lineRule="auto"/>
            </w:pPr>
            <w:r>
              <w:rPr/>
              <w:t xml:space="preserve">Strategic Value</w:t>
            </w:r>
          </w:p>
        </w:tc>
      </w:tr>
      <w:tr>
        <w:trPr>
          <w:cantSplit/>
        </w:trPr>
        <w:tc>
          <w:tcPr>
            <w:tcBorders>
              <w:top w:val="single" w:sz="1" w:space="0" w:color="000000"/>
              <w:bottom w:val="single" w:sz="1" w:space="0" w:color="000000"/>
            </w:tcBorders>
          </w:tcPr>
          <w:p>
            <w:pPr>
              <w:spacing w:lineRule="auto"/>
            </w:pPr>
            <w:r>
              <w:rPr/>
              <w:t xml:space="preserve">Clarity Assessment</w:t>
            </w:r>
          </w:p>
        </w:tc>
        <w:tc>
          <w:tcPr>
            <w:tcBorders>
              <w:top w:val="single" w:sz="1" w:space="0" w:color="000000"/>
              <w:left w:val="single" w:sz="1" w:space="0" w:color="000000"/>
              <w:bottom w:val="single" w:sz="1" w:space="0" w:color="000000"/>
            </w:tcBorders>
          </w:tcPr>
          <w:p>
            <w:pPr>
              <w:spacing w:lineRule="auto"/>
            </w:pPr>
            <w:r>
              <w:rPr/>
              <w:t xml:space="preserve">Goal clarity, purpose alignment, values coherence</w:t>
            </w:r>
          </w:p>
        </w:tc>
        <w:tc>
          <w:tcPr>
            <w:tcBorders>
              <w:top w:val="single" w:sz="1" w:space="0" w:color="000000"/>
              <w:left w:val="single" w:sz="1" w:space="0" w:color="000000"/>
              <w:bottom w:val="single" w:sz="1" w:space="0" w:color="000000"/>
            </w:tcBorders>
          </w:tcPr>
          <w:p>
            <w:pPr>
              <w:spacing w:lineRule="auto"/>
            </w:pPr>
            <w:r>
              <w:rPr/>
              <w:t xml:space="preserve">Establishes Individual baseline at program entry</w:t>
            </w:r>
          </w:p>
        </w:tc>
      </w:tr>
      <w:tr>
        <w:trPr>
          <w:cantSplit/>
        </w:trPr>
        <w:tc>
          <w:tcPr>
            <w:tcBorders>
              <w:top w:val="single" w:sz="1" w:space="0" w:color="000000"/>
              <w:bottom w:val="single" w:sz="1" w:space="0" w:color="000000"/>
            </w:tcBorders>
          </w:tcPr>
          <w:p>
            <w:pPr>
              <w:spacing w:lineRule="auto"/>
            </w:pPr>
            <w:r>
              <w:rPr/>
              <w:t xml:space="preserve">Reflection Test</w:t>
            </w:r>
          </w:p>
        </w:tc>
        <w:tc>
          <w:tcPr>
            <w:tcBorders>
              <w:top w:val="single" w:sz="1" w:space="0" w:color="000000"/>
              <w:left w:val="single" w:sz="1" w:space="0" w:color="000000"/>
              <w:bottom w:val="single" w:sz="1" w:space="0" w:color="000000"/>
            </w:tcBorders>
          </w:tcPr>
          <w:p>
            <w:pPr>
              <w:spacing w:lineRule="auto"/>
            </w:pPr>
            <w:r>
              <w:rPr/>
              <w:t xml:space="preserve">Self-awareness, growth mindset, introspective depth</w:t>
            </w:r>
          </w:p>
        </w:tc>
        <w:tc>
          <w:tcPr>
            <w:tcBorders>
              <w:top w:val="single" w:sz="1" w:space="0" w:color="000000"/>
              <w:left w:val="single" w:sz="1" w:space="0" w:color="000000"/>
              <w:bottom w:val="single" w:sz="1" w:space="0" w:color="000000"/>
            </w:tcBorders>
          </w:tcPr>
          <w:p>
            <w:pPr>
              <w:spacing w:lineRule="auto"/>
            </w:pPr>
            <w:r>
              <w:rPr/>
              <w:t xml:space="preserve">Tracks inner journey progression over time</w:t>
            </w:r>
          </w:p>
        </w:tc>
      </w:tr>
      <w:tr>
        <w:trPr>
          <w:cantSplit/>
        </w:trPr>
        <w:tc>
          <w:tcPr>
            <w:tcBorders>
              <w:top w:val="single" w:sz="1" w:space="0" w:color="000000"/>
              <w:bottom w:val="single" w:sz="1" w:space="0" w:color="000000"/>
            </w:tcBorders>
          </w:tcPr>
          <w:p>
            <w:pPr>
              <w:spacing w:lineRule="auto"/>
            </w:pPr>
            <w:r>
              <w:rPr/>
              <w:t xml:space="preserve">Personality Style Test</w:t>
            </w:r>
          </w:p>
        </w:tc>
        <w:tc>
          <w:tcPr>
            <w:tcBorders>
              <w:top w:val="single" w:sz="1" w:space="0" w:color="000000"/>
              <w:left w:val="single" w:sz="1" w:space="0" w:color="000000"/>
              <w:bottom w:val="single" w:sz="1" w:space="0" w:color="000000"/>
            </w:tcBorders>
          </w:tcPr>
          <w:p>
            <w:pPr>
              <w:spacing w:lineRule="auto"/>
            </w:pPr>
            <w:r>
              <w:rPr/>
              <w:t xml:space="preserve">Communication style, leadership archetype, behavioral tendencies</w:t>
            </w:r>
          </w:p>
        </w:tc>
        <w:tc>
          <w:tcPr>
            <w:tcBorders>
              <w:top w:val="single" w:sz="1" w:space="0" w:color="000000"/>
              <w:left w:val="single" w:sz="1" w:space="0" w:color="000000"/>
              <w:bottom w:val="single" w:sz="1" w:space="0" w:color="000000"/>
            </w:tcBorders>
          </w:tcPr>
          <w:p>
            <w:pPr>
              <w:spacing w:lineRule="auto"/>
            </w:pPr>
            <w:r>
              <w:rPr/>
              <w:t xml:space="preserve">Informs Professional's approach personalization</w:t>
            </w:r>
          </w:p>
        </w:tc>
      </w:tr>
      <w:tr>
        <w:trPr>
          <w:cantSplit/>
        </w:trPr>
        <w:tc>
          <w:tcPr>
            <w:tcBorders>
              <w:top w:val="single" w:sz="1" w:space="0" w:color="000000"/>
              <w:bottom w:val="single" w:sz="1" w:space="0" w:color="000000"/>
            </w:tcBorders>
          </w:tcPr>
          <w:p>
            <w:pPr>
              <w:spacing w:lineRule="auto"/>
            </w:pPr>
            <w:r>
              <w:rPr/>
              <w:t xml:space="preserve">Systems Assessment</w:t>
            </w:r>
          </w:p>
        </w:tc>
        <w:tc>
          <w:tcPr>
            <w:tcBorders>
              <w:top w:val="single" w:sz="1" w:space="0" w:color="000000"/>
              <w:left w:val="single" w:sz="1" w:space="0" w:color="000000"/>
              <w:bottom w:val="single" w:sz="1" w:space="0" w:color="000000"/>
            </w:tcBorders>
          </w:tcPr>
          <w:p>
            <w:pPr>
              <w:spacing w:lineRule="auto"/>
            </w:pPr>
            <w:r>
              <w:rPr/>
              <w:t xml:space="preserve">Organizational systems thinking, ecosystem awareness</w:t>
            </w:r>
          </w:p>
        </w:tc>
        <w:tc>
          <w:tcPr>
            <w:tcBorders>
              <w:top w:val="single" w:sz="1" w:space="0" w:color="000000"/>
              <w:left w:val="single" w:sz="1" w:space="0" w:color="000000"/>
              <w:bottom w:val="single" w:sz="1" w:space="0" w:color="000000"/>
            </w:tcBorders>
          </w:tcPr>
          <w:p>
            <w:pPr>
              <w:spacing w:lineRule="auto"/>
            </w:pPr>
            <w:r>
              <w:rPr/>
              <w:t xml:space="preserve">Relevant for corporate and leadership contexts</w:t>
            </w:r>
          </w:p>
        </w:tc>
      </w:tr>
    </w:tbl>
    <w:p>
      <w:pPr>
        <w:spacing w:lineRule="auto"/>
      </w:pPr>
    </w:p>
    <w:p>
      <w:pPr>
        <w:spacing w:after="210" w:lineRule="auto"/>
      </w:pPr>
      <w:r>
        <w:rPr>
          <w:b/>
        </w:rPr>
        <w:t xml:space="preserve">Training Studio</w:t>
      </w:r>
      <w:r>
        <w:rPr/>
        <w:t xml:space="preserve"> and </w:t>
      </w:r>
      <w:r>
        <w:rPr>
          <w:b/>
        </w:rPr>
        <w:t xml:space="preserve">Recruitment Studio</w:t>
      </w:r>
      <w:r>
        <w:rPr>
          <w:rFonts w:eastAsia="Georgia" w:cs="Georgia" w:ascii="Georgia" w:hAnsi="Georgia"/>
        </w:rPr>
        <w:t xml:space="preserve"> will have their own tailored assessment suites — skills-gap assessments, competency frameworks, and role-fit evaluations respectively — all running on the identical assessment engine.</w:t>
      </w:r>
    </w:p>
    <w:p>
      <w:pPr>
        <w:spacing w:after="210" w:lineRule="auto"/>
      </w:pPr>
      <w:r>
        <w:rPr>
          <w:b/>
        </w:rPr>
        <w:t xml:space="preserve">Technical Architecture of the Assessment Engine:</w:t>
      </w:r>
    </w:p>
    <w:p>
      <w:pPr>
        <w:spacing w:after="210" w:lineRule="auto"/>
      </w:pPr>
      <w:r>
        <w:rPr/>
        <w:t xml:space="preserve">Every tool in the Playground operates as both a native platform feature and an embeddable widget. Each assessment receives a unique, shareable URL. Professionals can:</w:t>
      </w:r>
    </w:p>
    <w:p>
      <w:pPr>
        <w:numPr>
          <w:ilvl w:val="0"/>
          <w:numId w:val="4"/>
        </w:numPr>
        <w:spacing w:lineRule="auto"/>
      </w:pPr>
      <w:r>
        <w:rPr>
          <w:rFonts w:eastAsia="Georgia" w:cs="Georgia" w:ascii="Georgia" w:hAnsi="Georgia"/>
        </w:rPr>
        <w:t xml:space="preserve">Send the link directly to an Individual via any channel — email, WhatsApp, LinkedIn</w:t>
      </w:r>
    </w:p>
    <w:p>
      <w:pPr>
        <w:numPr>
          <w:ilvl w:val="0"/>
          <w:numId w:val="4"/>
        </w:numPr>
        <w:spacing w:lineRule="auto"/>
      </w:pPr>
      <w:r>
        <w:rPr/>
        <w:t xml:space="preserve">Embed the assessment widget on their own personal or company website</w:t>
      </w:r>
    </w:p>
    <w:p>
      <w:pPr>
        <w:numPr>
          <w:ilvl w:val="0"/>
          <w:numId w:val="4"/>
        </w:numPr>
        <w:spacing w:lineRule="auto"/>
      </w:pPr>
      <w:r>
        <w:rPr/>
        <w:t xml:space="preserve">Include it in a program sequence as a mandatory completion step</w:t>
      </w:r>
    </w:p>
    <w:p>
      <w:pPr>
        <w:spacing w:after="210" w:lineRule="auto"/>
      </w:pPr>
      <w:r>
        <w:rPr>
          <w:rFonts w:eastAsia="Georgia" w:cs="Georgia" w:ascii="Georgia" w:hAnsi="Georgia"/>
        </w:rPr>
        <w:t xml:space="preserve">Upon completion, the platform's AI layer — powered by Groq — instantly:</w:t>
      </w:r>
    </w:p>
    <w:p>
      <w:pPr>
        <w:numPr>
          <w:ilvl w:val="0"/>
          <w:numId w:val="5"/>
        </w:numPr>
        <w:spacing w:lineRule="auto"/>
      </w:pPr>
      <w:r>
        <w:rPr/>
        <w:t xml:space="preserve">Generates a comprehensive, branded PDF report with the Professional's logo and color scheme</w:t>
      </w:r>
    </w:p>
    <w:p>
      <w:pPr>
        <w:numPr>
          <w:ilvl w:val="0"/>
          <w:numId w:val="5"/>
        </w:numPr>
        <w:spacing w:lineRule="auto"/>
      </w:pPr>
      <w:r>
        <w:rPr/>
        <w:t xml:space="preserve">Delivers the report automatically to both the Individual and their Professional</w:t>
      </w:r>
    </w:p>
    <w:p>
      <w:pPr>
        <w:numPr>
          <w:ilvl w:val="0"/>
          <w:numId w:val="5"/>
        </w:numPr>
        <w:spacing w:lineRule="auto"/>
      </w:pPr>
      <w:r>
        <w:rPr/>
        <w:t xml:space="preserve">Stores the data in the Individual's longitudinal growth profile</w:t>
      </w:r>
    </w:p>
    <w:p>
      <w:pPr>
        <w:numPr>
          <w:ilvl w:val="0"/>
          <w:numId w:val="5"/>
        </w:numPr>
        <w:spacing w:lineRule="auto"/>
      </w:pPr>
      <w:r>
        <w:rPr/>
        <w:t xml:space="preserve">Aggregates anonymized data for platform-wide analytics and benchmarking</w:t>
      </w:r>
    </w:p>
    <w:p>
      <w:pPr>
        <w:spacing w:after="210" w:lineRule="auto"/>
      </w:pPr>
      <w:r>
        <w:rPr/>
        <w:t xml:space="preserve">This architecture means that every embedded widget on an external professional website is simultaneously a </w:t>
      </w:r>
      <w:r>
        <w:rPr>
          <w:b/>
        </w:rPr>
        <w:t xml:space="preserve">lead acquisition channel</w:t>
      </w:r>
      <w:r>
        <w:rPr/>
        <w:t xml:space="preserve">, a </w:t>
      </w:r>
      <w:r>
        <w:rPr>
          <w:b/>
        </w:rPr>
        <w:t xml:space="preserve">brand impression vehicle</w:t>
      </w:r>
      <w:r>
        <w:rPr/>
        <w:t xml:space="preserve">, and a </w:t>
      </w:r>
      <w:r>
        <w:rPr>
          <w:b/>
        </w:rPr>
        <w:t xml:space="preserve">data collection node</w:t>
      </w:r>
      <w:r>
        <w:rPr>
          <w:rFonts w:eastAsia="Georgia" w:cs="Georgia" w:ascii="Georgia" w:hAnsi="Georgia"/>
        </w:rPr>
        <w:t xml:space="preserve"> — directing new users back into the StudioVerse platform without any paid marketing effort.</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Layer 3 — The Community Layer (Events)</w:t>
      </w:r>
    </w:p>
    <w:p>
      <w:pPr>
        <w:spacing w:after="210" w:lineRule="auto"/>
      </w:pPr>
      <w:r>
        <w:rPr/>
        <w:t xml:space="preserve">The Events module creates the community heartbeat of each Studio:</w:t>
      </w:r>
    </w:p>
    <w:p>
      <w:pPr>
        <w:numPr>
          <w:ilvl w:val="0"/>
          <w:numId w:val="6"/>
        </w:numPr>
        <w:spacing w:lineRule="auto"/>
      </w:pPr>
      <w:r>
        <w:rPr>
          <w:b/>
        </w:rPr>
        <w:t xml:space="preserve">Global Events</w:t>
      </w:r>
      <w:r>
        <w:rPr>
          <w:rFonts w:eastAsia="Georgia" w:cs="Georgia" w:ascii="Georgia" w:hAnsi="Georgia"/>
        </w:rPr>
        <w:t xml:space="preserve"> — SuperAdmin-created webinars, workshops, and masterclasses visible to all platform users within a Studio tenant</w:t>
      </w:r>
    </w:p>
    <w:p>
      <w:pPr>
        <w:numPr>
          <w:ilvl w:val="0"/>
          <w:numId w:val="6"/>
        </w:numPr>
        <w:spacing w:lineRule="auto"/>
      </w:pPr>
      <w:r>
        <w:rPr>
          <w:b/>
        </w:rPr>
        <w:t xml:space="preserve">Private Events</w:t>
      </w:r>
      <w:r>
        <w:rPr>
          <w:rFonts w:eastAsia="Georgia" w:cs="Georgia" w:ascii="Georgia" w:hAnsi="Georgia"/>
        </w:rPr>
        <w:t xml:space="preserve"> — Professional-created sessions (weekly group coaching, cohort check-ins, live workshops) visible only to their specific cohorts or Individuals</w:t>
      </w:r>
    </w:p>
    <w:p>
      <w:pPr>
        <w:numPr>
          <w:ilvl w:val="0"/>
          <w:numId w:val="6"/>
        </w:numPr>
        <w:spacing w:lineRule="auto"/>
      </w:pPr>
      <w:r>
        <w:rPr>
          <w:b/>
        </w:rPr>
        <w:t xml:space="preserve">Referral System</w:t>
      </w:r>
      <w:r>
        <w:rPr>
          <w:rFonts w:eastAsia="Georgia" w:cs="Georgia" w:ascii="Georgia" w:hAnsi="Georgia"/>
        </w:rPr>
        <w:t xml:space="preserve"> — Every event has a native Share button enabling Professionals and Individuals to refer events to other users within the platform, creating organic word-of-mouth amplification</w:t>
      </w:r>
    </w:p>
    <w:p>
      <w:pPr>
        <w:numPr>
          <w:ilvl w:val="0"/>
          <w:numId w:val="6"/>
        </w:numPr>
        <w:spacing w:lineRule="auto"/>
      </w:pPr>
      <w:r>
        <w:rPr>
          <w:b/>
        </w:rPr>
        <w:t xml:space="preserve">Event Ticketing</w:t>
      </w:r>
      <w:r>
        <w:rPr>
          <w:rFonts w:eastAsia="Georgia" w:cs="Georgia" w:ascii="Georgia" w:hAnsi="Georgia"/>
        </w:rPr>
        <w:t xml:space="preserve"> — Paid event registration with Stripe integration, enabling Professionals to monetize live sessions directly through the platform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section_3_the_four_tier_actor_model"/>
      <w:r>
        <w:rPr>
          <w:rFonts w:eastAsia="Georgia" w:cs="Georgia" w:ascii="Georgia" w:hAnsi="Georgia"/>
          <w:b/>
          <w:sz w:val="42"/>
        </w:rPr>
        <w:t xml:space="preserve">Section 3 — The Four-Tier Actor Model</w:t>
      </w:r>
      <w:bookmarkEnd w:id="14"/>
    </w:p>
    <w:p>
      <w:pPr>
        <w:spacing w:line="271" w:before="240" w:lineRule="auto"/>
      </w:pPr>
      <w:bookmarkStart w:id="15" w:name="bm_3_1_actor_1_superadmin_the_pla_5b0eea"/>
      <w:r>
        <w:rPr>
          <w:rFonts w:eastAsia="Georgia" w:cs="Georgia" w:ascii="Georgia" w:hAnsi="Georgia"/>
          <w:b/>
          <w:sz w:val="33"/>
        </w:rPr>
        <w:t xml:space="preserve">3.1 Actor 1 — SuperAdmin (The Platform Authority)</w:t>
      </w:r>
      <w:bookmarkEnd w:id="15"/>
    </w:p>
    <w:p>
      <w:pPr>
        <w:spacing w:after="210" w:lineRule="auto"/>
      </w:pPr>
      <w:r>
        <w:rPr>
          <w:rFonts w:eastAsia="Georgia" w:cs="Georgia" w:ascii="Georgia" w:hAnsi="Georgia"/>
        </w:rPr>
        <w:t xml:space="preserve">The SuperAdmin is StudioVerse's operating authority — the single role with cross-tenant visibility and platform governance capability. In the initial deployment, this role is held by the platform owner (Dinesh Wadhwani and the StudioVerse team). As the platform scales, trusted organizational administrators may be granted SuperAdmin capabilities with scoped permissions.</w:t>
      </w:r>
    </w:p>
    <w:p>
      <w:pPr>
        <w:spacing w:after="210" w:lineRule="auto"/>
      </w:pPr>
      <w:r>
        <w:rPr>
          <w:b/>
        </w:rPr>
        <w:t xml:space="preserve">Core Capabilities:</w:t>
      </w:r>
    </w:p>
    <w:p>
      <w:pPr>
        <w:numPr>
          <w:ilvl w:val="0"/>
          <w:numId w:val="7"/>
        </w:numPr>
        <w:spacing w:lineRule="auto"/>
      </w:pPr>
      <w:r>
        <w:rPr>
          <w:b/>
        </w:rPr>
        <w:t xml:space="preserve">Global Content Catalog Management</w:t>
      </w:r>
      <w:r>
        <w:rPr>
          <w:rFonts w:eastAsia="Georgia" w:cs="Georgia" w:ascii="Georgia" w:hAnsi="Georgia"/>
        </w:rPr>
        <w:t xml:space="preserve"> — Upload and curate programs (videos, podcasts, PDFs, audio) accessible to all users across a Studio tenant. Set pricing (free or paid) and visibility rules for each item.</w:t>
      </w:r>
    </w:p>
    <w:p>
      <w:pPr>
        <w:numPr>
          <w:ilvl w:val="0"/>
          <w:numId w:val="7"/>
        </w:numPr>
        <w:spacing w:lineRule="auto"/>
      </w:pPr>
      <w:r>
        <w:rPr>
          <w:b/>
        </w:rPr>
        <w:t xml:space="preserve">Professional Oversight</w:t>
      </w:r>
      <w:r>
        <w:rPr>
          <w:rFonts w:eastAsia="Georgia" w:cs="Georgia" w:ascii="Georgia" w:hAnsi="Georgia"/>
        </w:rPr>
        <w:t xml:space="preserve"> — Approve, activate, or deactivate Professional accounts across the platform. Maintain platform quality standards.</w:t>
      </w:r>
    </w:p>
    <w:p>
      <w:pPr>
        <w:numPr>
          <w:ilvl w:val="0"/>
          <w:numId w:val="7"/>
        </w:numPr>
        <w:spacing w:lineRule="auto"/>
      </w:pPr>
      <w:r>
        <w:rPr>
          <w:b/>
        </w:rPr>
        <w:t xml:space="preserve">Global Event Management</w:t>
      </w:r>
      <w:r>
        <w:rPr>
          <w:rFonts w:eastAsia="Georgia" w:cs="Georgia" w:ascii="Georgia" w:hAnsi="Georgia"/>
        </w:rPr>
        <w:t xml:space="preserve"> — Create platform-wide events (webinars, masterclasses, industry workshops) visible to all registered users.</w:t>
      </w:r>
    </w:p>
    <w:p>
      <w:pPr>
        <w:numPr>
          <w:ilvl w:val="0"/>
          <w:numId w:val="7"/>
        </w:numPr>
        <w:spacing w:lineRule="auto"/>
      </w:pPr>
      <w:r>
        <w:rPr>
          <w:b/>
        </w:rPr>
        <w:t xml:space="preserve">Cross-Tenant Analytics Dashboard</w:t>
      </w:r>
      <w:r>
        <w:rPr>
          <w:rFonts w:eastAsia="Georgia" w:cs="Georgia" w:ascii="Georgia" w:hAnsi="Georgia"/>
        </w:rPr>
        <w:t xml:space="preserve"> — Monitor platform health metrics: total active users by tier, program completion rates, revenue transactions, tool usage frequency, and cohort engagement levels.</w:t>
      </w:r>
    </w:p>
    <w:p>
      <w:pPr>
        <w:numPr>
          <w:ilvl w:val="0"/>
          <w:numId w:val="7"/>
        </w:numPr>
        <w:spacing w:lineRule="auto"/>
      </w:pPr>
      <w:r>
        <w:rPr>
          <w:b/>
        </w:rPr>
        <w:t xml:space="preserve">Platform Communications</w:t>
      </w:r>
      <w:r>
        <w:rPr>
          <w:rFonts w:eastAsia="Georgia" w:cs="Georgia" w:ascii="Georgia" w:hAnsi="Georgia"/>
        </w:rPr>
        <w:t xml:space="preserve"> — Send platform-wide notifications and announcements to segmented user groups.</w:t>
      </w:r>
    </w:p>
    <w:p>
      <w:pPr>
        <w:numPr>
          <w:ilvl w:val="0"/>
          <w:numId w:val="7"/>
        </w:numPr>
        <w:spacing w:lineRule="auto"/>
      </w:pPr>
      <w:r>
        <w:rPr>
          <w:b/>
        </w:rPr>
        <w:t xml:space="preserve">Studio Configuration</w:t>
      </w:r>
      <w:r>
        <w:rPr>
          <w:rFonts w:eastAsia="Georgia" w:cs="Georgia" w:ascii="Georgia" w:hAnsi="Georgia"/>
        </w:rPr>
        <w:t xml:space="preserve"> — Manage Studio-type settings, terminology layers, branding defaults, and feature flag states.</w:t>
      </w:r>
    </w:p>
    <w:p>
      <w:pPr>
        <w:spacing w:after="210" w:lineRule="auto"/>
      </w:pPr>
      <w:r>
        <w:rPr>
          <w:b/>
        </w:rPr>
        <w:t xml:space="preserve">SuperAdmin's Strategic Role:</w:t>
      </w:r>
      <w:r>
        <w:rPr/>
        <w:t xml:space="preserve"> The SuperAdmin is the curation layer that ensures content quality, platform integrity, and ecosystem health. By controlling the global catalog and Professional approval, the SuperAdmin creates the premium, walled-garden quality that justifies subscription fees and drives trust across the ecosystem.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bm_3_2_actor_2_company_the_enterp_ba1f1d"/>
      <w:r>
        <w:rPr>
          <w:rFonts w:eastAsia="Georgia" w:cs="Georgia" w:ascii="Georgia" w:hAnsi="Georgia"/>
          <w:b/>
          <w:sz w:val="33"/>
        </w:rPr>
        <w:t xml:space="preserve">3.2 Actor 2 — Company (The Enterprise Tenant)</w:t>
      </w:r>
      <w:bookmarkEnd w:id="16"/>
    </w:p>
    <w:p>
      <w:pPr>
        <w:spacing w:after="210" w:lineRule="auto"/>
      </w:pPr>
      <w:r>
        <w:rPr>
          <w:rFonts w:eastAsia="Georgia" w:cs="Georgia" w:ascii="Georgia" w:hAnsi="Georgia"/>
        </w:rPr>
        <w:t xml:space="preserve">The Company tier is StudioVerse's enterprise revenue engine. This tier targets professional services firms of all types — coaching consultancies, corporate L&amp;D departments, training companies, recruitment agencies — any organization managing multiple Professionals who serve a common client base.</w:t>
      </w:r>
    </w:p>
    <w:p>
      <w:pPr>
        <w:spacing w:after="210" w:lineRule="auto"/>
      </w:pPr>
      <w:r>
        <w:rPr>
          <w:b/>
        </w:rPr>
        <w:t xml:space="preserve">Core Capabilities:</w:t>
      </w:r>
    </w:p>
    <w:p>
      <w:pPr>
        <w:numPr>
          <w:ilvl w:val="0"/>
          <w:numId w:val="8"/>
        </w:numPr>
        <w:spacing w:lineRule="auto"/>
      </w:pPr>
      <w:r>
        <w:rPr>
          <w:b/>
        </w:rPr>
        <w:t xml:space="preserve">Multi-Professional Team Management</w:t>
      </w:r>
      <w:r>
        <w:rPr>
          <w:rFonts w:eastAsia="Georgia" w:cs="Georgia" w:ascii="Georgia" w:hAnsi="Georgia"/>
        </w:rPr>
        <w:t xml:space="preserve"> — Add, manage, and configure accounts for an unlimited number of Professionals under the Company umbrella. Assign roles, set permissions, and maintain organizational hierarchy.</w:t>
      </w:r>
    </w:p>
    <w:p>
      <w:pPr>
        <w:numPr>
          <w:ilvl w:val="0"/>
          <w:numId w:val="8"/>
        </w:numPr>
        <w:spacing w:lineRule="auto"/>
      </w:pPr>
      <w:r>
        <w:rPr>
          <w:b/>
        </w:rPr>
        <w:t xml:space="preserve">Centralized Resource Library</w:t>
      </w:r>
      <w:r>
        <w:rPr>
          <w:rFonts w:eastAsia="Georgia" w:cs="Georgia" w:ascii="Georgia" w:hAnsi="Georgia"/>
        </w:rPr>
        <w:t xml:space="preserve"> — Provide standardized tools, programs, and assessment frameworks to all Professionals in the organization, ensuring consistent delivery standards across the team.</w:t>
      </w:r>
    </w:p>
    <w:p>
      <w:pPr>
        <w:numPr>
          <w:ilvl w:val="0"/>
          <w:numId w:val="8"/>
        </w:numPr>
        <w:spacing w:lineRule="auto"/>
      </w:pPr>
      <w:r>
        <w:rPr>
          <w:b/>
        </w:rPr>
        <w:t xml:space="preserve">Organizational Analytics</w:t>
      </w:r>
      <w:r>
        <w:rPr>
          <w:rFonts w:eastAsia="Georgia" w:cs="Georgia" w:ascii="Georgia" w:hAnsi="Georgia"/>
        </w:rPr>
        <w:t xml:space="preserve"> — See aggregate progress data across all Professionals and their Individual client bases. Track which programs are most used, which tools generate highest engagement, and where Individuals are in their development journeys.</w:t>
      </w:r>
    </w:p>
    <w:p>
      <w:pPr>
        <w:numPr>
          <w:ilvl w:val="0"/>
          <w:numId w:val="8"/>
        </w:numPr>
        <w:spacing w:lineRule="auto"/>
      </w:pPr>
      <w:r>
        <w:rPr>
          <w:b/>
        </w:rPr>
        <w:t xml:space="preserve">Brand Customization</w:t>
      </w:r>
      <w:r>
        <w:rPr>
          <w:rFonts w:eastAsia="Georgia" w:cs="Georgia" w:ascii="Georgia" w:hAnsi="Georgia"/>
        </w:rPr>
        <w:t xml:space="preserve"> — White-label the platform interface with the Company's branding, ensuring a seamless professional experience for their clients.</w:t>
      </w:r>
    </w:p>
    <w:p>
      <w:pPr>
        <w:numPr>
          <w:ilvl w:val="0"/>
          <w:numId w:val="8"/>
        </w:numPr>
        <w:spacing w:lineRule="auto"/>
      </w:pPr>
      <w:r>
        <w:rPr>
          <w:b/>
        </w:rPr>
        <w:t xml:space="preserve">Cohort Management at Scale</w:t>
      </w:r>
      <w:r>
        <w:rPr>
          <w:rFonts w:eastAsia="Georgia" w:cs="Georgia" w:ascii="Georgia" w:hAnsi="Georgia"/>
        </w:rPr>
        <w:t xml:space="preserve"> — Create, manage, and archive cohorts across all Professionals. Run company-wide programs and events across the full client base simultaneously.</w:t>
      </w:r>
    </w:p>
    <w:p>
      <w:pPr>
        <w:numPr>
          <w:ilvl w:val="0"/>
          <w:numId w:val="8"/>
        </w:numPr>
        <w:spacing w:lineRule="auto"/>
      </w:pPr>
      <w:r>
        <w:rPr>
          <w:b/>
        </w:rPr>
        <w:t xml:space="preserve">Compliance and Audit Trail</w:t>
      </w:r>
      <w:r>
        <w:rPr>
          <w:rFonts w:eastAsia="Georgia" w:cs="Georgia" w:ascii="Georgia" w:hAnsi="Georgia"/>
        </w:rPr>
        <w:t xml:space="preserve"> — Access audit logs for all Professional and Individual activity within the Company's scope, supporting enterprise compliance requirements.</w:t>
      </w:r>
    </w:p>
    <w:p>
      <w:pPr>
        <w:spacing w:after="210" w:lineRule="auto"/>
      </w:pPr>
      <w:r>
        <w:rPr>
          <w:b/>
        </w:rPr>
        <w:t xml:space="preserve">Company's Strategic Value to StudioVerse:</w:t>
      </w:r>
      <w:r>
        <w:rPr>
          <w:rFonts w:eastAsia="Georgia" w:cs="Georgia" w:ascii="Georgia" w:hAnsi="Georgia"/>
        </w:rPr>
        <w:t xml:space="preserve"> Enterprise tenants represent the platform's highest-value customers — combining higher subscription revenues, larger user volumes amplifying marketplace transaction fees, and powerful social proof that drives independent Professional acquisition.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bm_3_3_actor_3_professional_the_p_d5f8b2"/>
      <w:r>
        <w:rPr>
          <w:rFonts w:eastAsia="Georgia" w:cs="Georgia" w:ascii="Georgia" w:hAnsi="Georgia"/>
          <w:b/>
          <w:sz w:val="33"/>
        </w:rPr>
        <w:t xml:space="preserve">3.3 Actor 3 — Professional (The Primary Delivery Actor)</w:t>
      </w:r>
      <w:bookmarkEnd w:id="17"/>
    </w:p>
    <w:p>
      <w:pPr>
        <w:spacing w:after="210" w:lineRule="auto"/>
      </w:pPr>
      <w:r>
        <w:rPr>
          <w:rFonts w:eastAsia="Georgia" w:cs="Georgia" w:ascii="Georgia" w:hAnsi="Georgia"/>
        </w:rPr>
        <w:t xml:space="preserve">The Professional is StudioVerse's primary growth acquisition target and the platform's core value driver. This actor represents the vast majority of the global professional services population — talented individuals who currently run their practice on disconnected tools and are actively seeking a digital operating environment that matches their professional caliber.</w:t>
      </w:r>
    </w:p>
    <w:p>
      <w:pPr>
        <w:spacing w:after="210" w:lineRule="auto"/>
      </w:pPr>
      <w:r>
        <w:rPr/>
        <w:t xml:space="preserve">A Professional may operate in one of two modes:</w:t>
      </w:r>
    </w:p>
    <w:p>
      <w:pPr>
        <w:numPr>
          <w:ilvl w:val="0"/>
          <w:numId w:val="9"/>
        </w:numPr>
        <w:spacing w:lineRule="auto"/>
      </w:pPr>
      <w:r>
        <w:rPr>
          <w:b/>
        </w:rPr>
        <w:t xml:space="preserve">Independent Professional</w:t>
      </w:r>
      <w:r>
        <w:rPr>
          <w:rFonts w:eastAsia="Georgia" w:cs="Georgia" w:ascii="Georgia" w:hAnsi="Georgia"/>
        </w:rPr>
        <w:t xml:space="preserve"> — Self-managed practice with no Company affiliation. Full access to all Professional capabilities. Their practice is their own; they own their client relationships and data.</w:t>
      </w:r>
    </w:p>
    <w:p>
      <w:pPr>
        <w:numPr>
          <w:ilvl w:val="0"/>
          <w:numId w:val="9"/>
        </w:numPr>
        <w:spacing w:lineRule="auto"/>
      </w:pPr>
      <w:r>
        <w:rPr>
          <w:b/>
        </w:rPr>
        <w:t xml:space="preserve">Company-Affiliated Professional</w:t>
      </w:r>
      <w:r>
        <w:rPr>
          <w:rFonts w:eastAsia="Georgia" w:cs="Georgia" w:ascii="Georgia" w:hAnsi="Georgia"/>
        </w:rPr>
        <w:t xml:space="preserve"> — Operating under a Company account. Access to shared Company resource libraries and cohorts while maintaining strict data isolation of their own client relationships from other Professionals in the same Company.</w:t>
      </w:r>
    </w:p>
    <w:p>
      <w:pPr>
        <w:spacing w:after="210" w:lineRule="auto"/>
      </w:pPr>
      <w:r>
        <w:rPr>
          <w:b/>
        </w:rPr>
        <w:t xml:space="preserve">Core Capabilities:</w:t>
      </w:r>
    </w:p>
    <w:p>
      <w:pPr>
        <w:numPr>
          <w:ilvl w:val="0"/>
          <w:numId w:val="10"/>
        </w:numPr>
        <w:spacing w:lineRule="auto"/>
      </w:pPr>
      <w:r>
        <w:rPr>
          <w:b/>
        </w:rPr>
        <w:t xml:space="preserve">Individual and Cohort Management</w:t>
      </w:r>
      <w:r>
        <w:rPr>
          <w:rFonts w:eastAsia="Georgia" w:cs="Georgia" w:ascii="Georgia" w:hAnsi="Georgia"/>
        </w:rPr>
        <w:t xml:space="preserve"> — Add Individual clients directly to a personal roster. Create named cohorts and add multiple Individuals. Assign programs, tools, and events to individuals or entire cohorts in a single action. Archive completed cohorts.</w:t>
      </w:r>
    </w:p>
    <w:p>
      <w:pPr>
        <w:numPr>
          <w:ilvl w:val="0"/>
          <w:numId w:val="10"/>
        </w:numPr>
        <w:spacing w:lineRule="auto"/>
      </w:pPr>
      <w:r>
        <w:rPr>
          <w:b/>
        </w:rPr>
        <w:t xml:space="preserve">Assignment Engine</w:t>
      </w:r>
      <w:r>
        <w:rPr>
          <w:rFonts w:eastAsia="Georgia" w:cs="Georgia" w:ascii="Georgia" w:hAnsi="Georgia"/>
        </w:rPr>
        <w:t xml:space="preserve"> — Assign any combination of programs and tools to any Individual or cohort. Drip content over scheduled timelines. Track completion in real time.</w:t>
      </w:r>
    </w:p>
    <w:p>
      <w:pPr>
        <w:numPr>
          <w:ilvl w:val="0"/>
          <w:numId w:val="10"/>
        </w:numPr>
        <w:spacing w:lineRule="auto"/>
      </w:pPr>
      <w:r>
        <w:rPr>
          <w:b/>
        </w:rPr>
        <w:t xml:space="preserve">Performance View</w:t>
      </w:r>
      <w:r>
        <w:rPr>
          <w:rFonts w:eastAsia="Georgia" w:cs="Georgia" w:ascii="Georgia" w:hAnsi="Georgia"/>
        </w:rPr>
        <w:t xml:space="preserve"> — Access reports and progress data exclusively for their own Individuals. Strict data isolation ensures Professional A cannot see Professional B's data at any level — whether they are in the same Company or not.</w:t>
      </w:r>
    </w:p>
    <w:p>
      <w:pPr>
        <w:numPr>
          <w:ilvl w:val="0"/>
          <w:numId w:val="10"/>
        </w:numPr>
        <w:spacing w:lineRule="auto"/>
      </w:pPr>
      <w:r>
        <w:rPr>
          <w:b/>
        </w:rPr>
        <w:t xml:space="preserve">Event Management</w:t>
      </w:r>
      <w:r>
        <w:rPr>
          <w:rFonts w:eastAsia="Georgia" w:cs="Georgia" w:ascii="Georgia" w:hAnsi="Georgia"/>
        </w:rPr>
        <w:t xml:space="preserve"> — Create private professional events visible only to their cohorts. Create public events and refer them to the wider community.</w:t>
      </w:r>
    </w:p>
    <w:p>
      <w:pPr>
        <w:numPr>
          <w:ilvl w:val="0"/>
          <w:numId w:val="10"/>
        </w:numPr>
        <w:spacing w:lineRule="auto"/>
      </w:pPr>
      <w:r>
        <w:rPr>
          <w:b/>
        </w:rPr>
        <w:t xml:space="preserve">Widget Deployment</w:t>
      </w:r>
      <w:r>
        <w:rPr>
          <w:rFonts w:eastAsia="Georgia" w:cs="Georgia" w:ascii="Georgia" w:hAnsi="Georgia"/>
        </w:rPr>
        <w:t xml:space="preserve"> — Generate embeddable assessment widgets with unique URLs for placement on their personal or company website, LinkedIn profile, or email newsletter — turning external traffic into platform leads.</w:t>
      </w:r>
    </w:p>
    <w:p>
      <w:pPr>
        <w:numPr>
          <w:ilvl w:val="0"/>
          <w:numId w:val="10"/>
        </w:numPr>
        <w:spacing w:lineRule="auto"/>
      </w:pPr>
      <w:r>
        <w:rPr>
          <w:b/>
        </w:rPr>
        <w:t xml:space="preserve">CSV Bulk Onboarding</w:t>
      </w:r>
      <w:r>
        <w:rPr>
          <w:rFonts w:eastAsia="Georgia" w:cs="Georgia" w:ascii="Georgia" w:hAnsi="Georgia"/>
        </w:rPr>
        <w:t xml:space="preserve"> — Upload a CSV of client names and email addresses to instantly populate a new cohort — critical for Professionals transitioning existing client bases onto the platform.</w:t>
      </w:r>
    </w:p>
    <w:p>
      <w:pPr>
        <w:numPr>
          <w:ilvl w:val="0"/>
          <w:numId w:val="10"/>
        </w:numPr>
        <w:spacing w:lineRule="auto"/>
      </w:pPr>
      <w:r>
        <w:rPr>
          <w:b/>
        </w:rPr>
        <w:t xml:space="preserve">Branded Reporting</w:t>
      </w:r>
      <w:r>
        <w:rPr>
          <w:rFonts w:eastAsia="Georgia" w:cs="Georgia" w:ascii="Georgia" w:hAnsi="Georgia"/>
        </w:rPr>
        <w:t xml:space="preserve"> — All AI-generated PDF reports carry the Professional's logo and color scheme — delivering a premium, white-labeled experience to their clients.</w:t>
      </w:r>
    </w:p>
    <w:p>
      <w:pPr>
        <w:spacing w:after="210" w:lineRule="auto"/>
      </w:pPr>
      <w:r>
        <w:rPr>
          <w:b/>
        </w:rPr>
        <w:t xml:space="preserve">Why a Professional Joins StudioVerse:</w:t>
      </w:r>
    </w:p>
    <w:p>
      <w:pPr>
        <w:numPr>
          <w:ilvl w:val="0"/>
          <w:numId w:val="11"/>
        </w:numPr>
        <w:spacing w:lineRule="auto"/>
      </w:pPr>
      <w:r>
        <w:rPr>
          <w:b/>
        </w:rPr>
        <w:t xml:space="preserve">Regain 40% of their time</w:t>
      </w:r>
      <w:r>
        <w:rPr/>
        <w:t xml:space="preserve"> by eliminating manual administrative workflows</w:t>
      </w:r>
    </w:p>
    <w:p>
      <w:pPr>
        <w:numPr>
          <w:ilvl w:val="0"/>
          <w:numId w:val="11"/>
        </w:numPr>
        <w:spacing w:lineRule="auto"/>
      </w:pPr>
      <w:r>
        <w:rPr>
          <w:b/>
        </w:rPr>
        <w:t xml:space="preserve">Scale beyond their calendar</w:t>
      </w:r>
      <w:r>
        <w:rPr/>
        <w:t xml:space="preserve"> by productizing their IP into programs and assessment tools</w:t>
      </w:r>
    </w:p>
    <w:p>
      <w:pPr>
        <w:numPr>
          <w:ilvl w:val="0"/>
          <w:numId w:val="11"/>
        </w:numPr>
        <w:spacing w:lineRule="auto"/>
      </w:pPr>
      <w:r>
        <w:rPr>
          <w:b/>
        </w:rPr>
        <w:t xml:space="preserve">Become data-driven</w:t>
      </w:r>
      <w:r>
        <w:rPr/>
        <w:t xml:space="preserve"> by presenting clients with professional reports that demonstrate measurable progress</w:t>
      </w:r>
    </w:p>
    <w:p>
      <w:pPr>
        <w:numPr>
          <w:ilvl w:val="0"/>
          <w:numId w:val="11"/>
        </w:numPr>
        <w:spacing w:lineRule="auto"/>
      </w:pPr>
      <w:r>
        <w:rPr>
          <w:b/>
        </w:rPr>
        <w:t xml:space="preserve">Build a lead generation machine</w:t>
      </w:r>
      <w:r>
        <w:rPr/>
        <w:t xml:space="preserve"> by embedding assessment widgets on their external website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bm_3_4_actor_4_individual_the_end_14a32c"/>
      <w:r>
        <w:rPr>
          <w:rFonts w:eastAsia="Georgia" w:cs="Georgia" w:ascii="Georgia" w:hAnsi="Georgia"/>
          <w:b/>
          <w:sz w:val="33"/>
        </w:rPr>
        <w:t xml:space="preserve">3.4 Actor 4 — Individual (The End Beneficiary)</w:t>
      </w:r>
      <w:bookmarkEnd w:id="18"/>
    </w:p>
    <w:p>
      <w:pPr>
        <w:spacing w:after="210" w:lineRule="auto"/>
      </w:pPr>
      <w:r>
        <w:rPr>
          <w:rFonts w:eastAsia="Georgia" w:cs="Georgia" w:ascii="Georgia" w:hAnsi="Georgia"/>
        </w:rPr>
        <w:t xml:space="preserve">The Individual is either self-registered (discovery via marketplace or widget link) or invited by a Professional. They represent the demand side of the professional services ecosystem — the human beings whose growth, learning, and career development the entire platform ultimately serves.</w:t>
      </w:r>
    </w:p>
    <w:p>
      <w:pPr>
        <w:spacing w:after="210" w:lineRule="auto"/>
      </w:pPr>
      <w:r>
        <w:rPr>
          <w:b/>
        </w:rPr>
        <w:t xml:space="preserve">Core Capabilities:</w:t>
      </w:r>
    </w:p>
    <w:p>
      <w:pPr>
        <w:numPr>
          <w:ilvl w:val="0"/>
          <w:numId w:val="12"/>
        </w:numPr>
        <w:spacing w:lineRule="auto"/>
      </w:pPr>
      <w:r>
        <w:rPr>
          <w:b/>
        </w:rPr>
        <w:t xml:space="preserve">Personal Growth Dashboard</w:t>
      </w:r>
      <w:r>
        <w:rPr>
          <w:rFonts w:eastAsia="Georgia" w:cs="Georgia" w:ascii="Georgia" w:hAnsi="Georgia"/>
        </w:rPr>
        <w:t xml:space="preserve"> — A curated view of all programs, tools, and tasks assigned by their Professional, plus any self-selected content from the free catalog.</w:t>
      </w:r>
    </w:p>
    <w:p>
      <w:pPr>
        <w:numPr>
          <w:ilvl w:val="0"/>
          <w:numId w:val="12"/>
        </w:numPr>
        <w:spacing w:lineRule="auto"/>
      </w:pPr>
      <w:r>
        <w:rPr>
          <w:b/>
        </w:rPr>
        <w:t xml:space="preserve">Program Consumption</w:t>
      </w:r>
      <w:r>
        <w:rPr>
          <w:rFonts w:eastAsia="Georgia" w:cs="Georgia" w:ascii="Georgia" w:hAnsi="Georgia"/>
        </w:rPr>
        <w:t xml:space="preserve"> — Watch videos, read PDFs, listen to podcasts. Mark modules as complete to maintain a visual progress journey.</w:t>
      </w:r>
    </w:p>
    <w:p>
      <w:pPr>
        <w:numPr>
          <w:ilvl w:val="0"/>
          <w:numId w:val="12"/>
        </w:numPr>
        <w:spacing w:lineRule="auto"/>
      </w:pPr>
      <w:r>
        <w:rPr>
          <w:b/>
        </w:rPr>
        <w:t xml:space="preserve">Self-Assessment Tools</w:t>
      </w:r>
      <w:r>
        <w:rPr>
          <w:rFonts w:eastAsia="Georgia" w:cs="Georgia" w:ascii="Georgia" w:hAnsi="Georgia"/>
        </w:rPr>
        <w:t xml:space="preserve"> — Take any tool assigned by their Professional, or discover and self-initiate tools from the catalog. Receive instant AI-generated reports upon completion.</w:t>
      </w:r>
    </w:p>
    <w:p>
      <w:pPr>
        <w:numPr>
          <w:ilvl w:val="0"/>
          <w:numId w:val="12"/>
        </w:numPr>
        <w:spacing w:lineRule="auto"/>
      </w:pPr>
      <w:r>
        <w:rPr>
          <w:b/>
        </w:rPr>
        <w:t xml:space="preserve">Content Marketplace</w:t>
      </w:r>
      <w:r>
        <w:rPr>
          <w:rFonts w:eastAsia="Georgia" w:cs="Georgia" w:ascii="Georgia" w:hAnsi="Georgia"/>
        </w:rPr>
        <w:t xml:space="preserve"> — Browse and purchase paid programs from the global catalog for self-directed development.</w:t>
      </w:r>
    </w:p>
    <w:p>
      <w:pPr>
        <w:numPr>
          <w:ilvl w:val="0"/>
          <w:numId w:val="12"/>
        </w:numPr>
        <w:spacing w:lineRule="auto"/>
      </w:pPr>
      <w:r>
        <w:rPr>
          <w:b/>
        </w:rPr>
        <w:t xml:space="preserve">Events</w:t>
      </w:r>
      <w:r>
        <w:rPr>
          <w:rFonts w:eastAsia="Georgia" w:cs="Georgia" w:ascii="Georgia" w:hAnsi="Georgia"/>
        </w:rPr>
        <w:t xml:space="preserve"> — Discover and register for global platform events. Receive referrals from their Professional for relevant workshops and sessions.</w:t>
      </w:r>
    </w:p>
    <w:p>
      <w:pPr>
        <w:numPr>
          <w:ilvl w:val="0"/>
          <w:numId w:val="12"/>
        </w:numPr>
        <w:spacing w:lineRule="auto"/>
      </w:pPr>
      <w:r>
        <w:rPr>
          <w:b/>
        </w:rPr>
        <w:t xml:space="preserve">Progress Reports</w:t>
      </w:r>
      <w:r>
        <w:rPr>
          <w:rFonts w:eastAsia="Georgia" w:cs="Georgia" w:ascii="Georgia" w:hAnsi="Georgia"/>
        </w:rPr>
        <w:t xml:space="preserve"> — Access their own AI-generated development reports as a growing longitudinal record of their professional journey.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section_4_feature_specification_m_6c8241"/>
      <w:r>
        <w:rPr>
          <w:rFonts w:eastAsia="Georgia" w:cs="Georgia" w:ascii="Georgia" w:hAnsi="Georgia"/>
          <w:b/>
          <w:sz w:val="42"/>
        </w:rPr>
        <w:t xml:space="preserve">Section 4 — Feature Specification: MVP Version 1.0</w:t>
      </w:r>
      <w:bookmarkEnd w:id="19"/>
    </w:p>
    <w:p>
      <w:pPr>
        <w:spacing w:line="271" w:before="240" w:lineRule="auto"/>
      </w:pPr>
      <w:bookmarkStart w:id="20" w:name="bm_4_1_programs_learning_manageme_13af62"/>
      <w:r>
        <w:rPr>
          <w:rFonts w:eastAsia="Georgia" w:cs="Georgia" w:ascii="Georgia" w:hAnsi="Georgia"/>
          <w:b/>
          <w:sz w:val="33"/>
        </w:rPr>
        <w:t xml:space="preserve">4.1 Programs — Learning Management System</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Feature</w:t>
            </w:r>
          </w:p>
        </w:tc>
        <w:tc>
          <w:tcPr>
            <w:tcBorders>
              <w:top w:val="single" w:sz="1" w:space="0" w:color="000000"/>
              <w:left w:val="single" w:sz="1" w:space="0" w:color="000000"/>
              <w:bottom w:val="single" w:sz="1" w:space="0" w:color="000000"/>
            </w:tcBorders>
          </w:tcPr>
          <w:p>
            <w:pPr>
              <w:spacing w:lineRule="auto"/>
            </w:pPr>
            <w:r>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Priority</w:t>
            </w:r>
          </w:p>
        </w:tc>
      </w:tr>
      <w:tr>
        <w:trPr>
          <w:cantSplit/>
        </w:trPr>
        <w:tc>
          <w:tcPr>
            <w:tcBorders>
              <w:top w:val="single" w:sz="1" w:space="0" w:color="000000"/>
              <w:bottom w:val="single" w:sz="1" w:space="0" w:color="000000"/>
            </w:tcBorders>
          </w:tcPr>
          <w:p>
            <w:pPr>
              <w:spacing w:lineRule="auto"/>
            </w:pPr>
            <w:r>
              <w:rPr/>
              <w:t xml:space="preserve">Multi-format content hosting</w:t>
            </w:r>
          </w:p>
        </w:tc>
        <w:tc>
          <w:tcPr>
            <w:tcBorders>
              <w:top w:val="single" w:sz="1" w:space="0" w:color="000000"/>
              <w:left w:val="single" w:sz="1" w:space="0" w:color="000000"/>
              <w:bottom w:val="single" w:sz="1" w:space="0" w:color="000000"/>
            </w:tcBorders>
          </w:tcPr>
          <w:p>
            <w:pPr>
              <w:spacing w:lineRule="auto"/>
            </w:pPr>
            <w:r>
              <w:rPr/>
              <w:t xml:space="preserve">Video (YouTube/Vimeo embed), Audio (podcast streaming), PDF viewer, rich text</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Free and paid programs</w:t>
            </w:r>
          </w:p>
        </w:tc>
        <w:tc>
          <w:tcPr>
            <w:tcBorders>
              <w:top w:val="single" w:sz="1" w:space="0" w:color="000000"/>
              <w:left w:val="single" w:sz="1" w:space="0" w:color="000000"/>
              <w:bottom w:val="single" w:sz="1" w:space="0" w:color="000000"/>
            </w:tcBorders>
          </w:tcPr>
          <w:p>
            <w:pPr>
              <w:spacing w:lineRule="auto"/>
            </w:pPr>
            <w:r>
              <w:rPr/>
              <w:t xml:space="preserve">SuperAdmin sets pricing; Individuals can purchase from catalog</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Program assignment</w:t>
            </w:r>
          </w:p>
        </w:tc>
        <w:tc>
          <w:tcPr>
            <w:tcBorders>
              <w:top w:val="single" w:sz="1" w:space="0" w:color="000000"/>
              <w:left w:val="single" w:sz="1" w:space="0" w:color="000000"/>
              <w:bottom w:val="single" w:sz="1" w:space="0" w:color="000000"/>
            </w:tcBorders>
          </w:tcPr>
          <w:p>
            <w:pPr>
              <w:spacing w:lineRule="auto"/>
            </w:pPr>
            <w:r>
              <w:rPr/>
              <w:t xml:space="preserve">Professionals assign to Individuals or cohorts</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Drip content scheduling</w:t>
            </w:r>
          </w:p>
        </w:tc>
        <w:tc>
          <w:tcPr>
            <w:tcBorders>
              <w:top w:val="single" w:sz="1" w:space="0" w:color="000000"/>
              <w:left w:val="single" w:sz="1" w:space="0" w:color="000000"/>
              <w:bottom w:val="single" w:sz="1" w:space="0" w:color="000000"/>
            </w:tcBorders>
          </w:tcPr>
          <w:p>
            <w:pPr>
              <w:spacing w:lineRule="auto"/>
            </w:pPr>
            <w:r>
              <w:rPr/>
              <w:t xml:space="preserve">Time-based content unlocking (releaseAfterDays)</w:t>
            </w:r>
          </w:p>
        </w:tc>
        <w:tc>
          <w:tcPr>
            <w:tcBorders>
              <w:top w:val="single" w:sz="1" w:space="0" w:color="000000"/>
              <w:left w:val="single" w:sz="1" w:space="0" w:color="000000"/>
              <w:bottom w:val="single" w:sz="1" w:space="0" w:color="000000"/>
            </w:tcBorders>
          </w:tcPr>
          <w:p>
            <w:pPr>
              <w:spacing w:lineRule="auto"/>
            </w:pPr>
            <w:r>
              <w:rPr/>
              <w:t xml:space="preserve">P1</w:t>
            </w:r>
          </w:p>
        </w:tc>
      </w:tr>
      <w:tr>
        <w:trPr>
          <w:cantSplit/>
        </w:trPr>
        <w:tc>
          <w:tcPr>
            <w:tcBorders>
              <w:top w:val="single" w:sz="1" w:space="0" w:color="000000"/>
              <w:bottom w:val="single" w:sz="1" w:space="0" w:color="000000"/>
            </w:tcBorders>
          </w:tcPr>
          <w:p>
            <w:pPr>
              <w:spacing w:lineRule="auto"/>
            </w:pPr>
            <w:r>
              <w:rPr/>
              <w:t xml:space="preserve">Mark as complete</w:t>
            </w:r>
          </w:p>
        </w:tc>
        <w:tc>
          <w:tcPr>
            <w:tcBorders>
              <w:top w:val="single" w:sz="1" w:space="0" w:color="000000"/>
              <w:left w:val="single" w:sz="1" w:space="0" w:color="000000"/>
              <w:bottom w:val="single" w:sz="1" w:space="0" w:color="000000"/>
            </w:tcBorders>
          </w:tcPr>
          <w:p>
            <w:pPr>
              <w:spacing w:lineRule="auto"/>
            </w:pPr>
            <w:r>
              <w:rPr/>
              <w:t xml:space="preserve">Individual-initiated progress tracking per module</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Progress dashboard</w:t>
            </w:r>
          </w:p>
        </w:tc>
        <w:tc>
          <w:tcPr>
            <w:tcBorders>
              <w:top w:val="single" w:sz="1" w:space="0" w:color="000000"/>
              <w:left w:val="single" w:sz="1" w:space="0" w:color="000000"/>
              <w:bottom w:val="single" w:sz="1" w:space="0" w:color="000000"/>
            </w:tcBorders>
          </w:tcPr>
          <w:p>
            <w:pPr>
              <w:spacing w:lineRule="auto"/>
            </w:pPr>
            <w:r>
              <w:rPr/>
              <w:t xml:space="preserve">Professional view of cohort/individual completion rates</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Program catalog</w:t>
            </w:r>
          </w:p>
        </w:tc>
        <w:tc>
          <w:tcPr>
            <w:tcBorders>
              <w:top w:val="single" w:sz="1" w:space="0" w:color="000000"/>
              <w:left w:val="single" w:sz="1" w:space="0" w:color="000000"/>
              <w:bottom w:val="single" w:sz="1" w:space="0" w:color="000000"/>
            </w:tcBorders>
          </w:tcPr>
          <w:p>
            <w:pPr>
              <w:spacing w:lineRule="auto"/>
            </w:pPr>
            <w:r>
              <w:rPr/>
              <w:t xml:space="preserve">Browsable catalog with filtering by tags, type, price</w:t>
            </w:r>
          </w:p>
        </w:tc>
        <w:tc>
          <w:tcPr>
            <w:tcBorders>
              <w:top w:val="single" w:sz="1" w:space="0" w:color="000000"/>
              <w:left w:val="single" w:sz="1" w:space="0" w:color="000000"/>
              <w:bottom w:val="single" w:sz="1" w:space="0" w:color="000000"/>
            </w:tcBorders>
          </w:tcPr>
          <w:p>
            <w:pPr>
              <w:spacing w:lineRule="auto"/>
            </w:pPr>
            <w:r>
              <w:rPr/>
              <w:t xml:space="preserve">P1</w:t>
            </w:r>
          </w:p>
        </w:tc>
      </w:tr>
    </w:tbl>
    <w:p>
      <w:pPr>
        <w:spacing w:lineRule="auto"/>
      </w:pPr>
    </w:p>
    <w:p>
      <w:pPr>
        <w:spacing w:line="271" w:before="240" w:lineRule="auto"/>
      </w:pPr>
      <w:bookmarkStart w:id="21" w:name="bm_4_2_tools_assessment_engine"/>
      <w:r>
        <w:rPr>
          <w:rFonts w:eastAsia="Georgia" w:cs="Georgia" w:ascii="Georgia" w:hAnsi="Georgia"/>
          <w:b/>
          <w:sz w:val="33"/>
        </w:rPr>
        <w:t xml:space="preserve">4.2 Tools — Assessment Engine</w:t>
      </w:r>
      <w:bookmarkEnd w:id="2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Feature</w:t>
            </w:r>
          </w:p>
        </w:tc>
        <w:tc>
          <w:tcPr>
            <w:tcBorders>
              <w:top w:val="single" w:sz="1" w:space="0" w:color="000000"/>
              <w:left w:val="single" w:sz="1" w:space="0" w:color="000000"/>
              <w:bottom w:val="single" w:sz="1" w:space="0" w:color="000000"/>
            </w:tcBorders>
          </w:tcPr>
          <w:p>
            <w:pPr>
              <w:spacing w:lineRule="auto"/>
            </w:pPr>
            <w:r>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Priority</w:t>
            </w:r>
          </w:p>
        </w:tc>
      </w:tr>
      <w:tr>
        <w:trPr>
          <w:cantSplit/>
        </w:trPr>
        <w:tc>
          <w:tcPr>
            <w:tcBorders>
              <w:top w:val="single" w:sz="1" w:space="0" w:color="000000"/>
              <w:bottom w:val="single" w:sz="1" w:space="0" w:color="000000"/>
            </w:tcBorders>
          </w:tcPr>
          <w:p>
            <w:pPr>
              <w:spacing w:lineRule="auto"/>
            </w:pPr>
            <w:r>
              <w:rPr/>
              <w:t xml:space="preserve">Foundational assessment suite</w:t>
            </w:r>
          </w:p>
        </w:tc>
        <w:tc>
          <w:tcPr>
            <w:tcBorders>
              <w:top w:val="single" w:sz="1" w:space="0" w:color="000000"/>
              <w:left w:val="single" w:sz="1" w:space="0" w:color="000000"/>
              <w:bottom w:val="single" w:sz="1" w:space="0" w:color="000000"/>
            </w:tcBorders>
          </w:tcPr>
          <w:p>
            <w:pPr>
              <w:spacing w:lineRule="auto"/>
            </w:pPr>
            <w:r>
              <w:rPr/>
              <w:t xml:space="preserve">4 assessments: Clarity, Reflection, Personality Style, Systems (Coaching Studio)</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Unique URL per tool</w:t>
            </w:r>
          </w:p>
        </w:tc>
        <w:tc>
          <w:tcPr>
            <w:tcBorders>
              <w:top w:val="single" w:sz="1" w:space="0" w:color="000000"/>
              <w:left w:val="single" w:sz="1" w:space="0" w:color="000000"/>
              <w:bottom w:val="single" w:sz="1" w:space="0" w:color="000000"/>
            </w:tcBorders>
          </w:tcPr>
          <w:p>
            <w:pPr>
              <w:spacing w:lineRule="auto"/>
            </w:pPr>
            <w:r>
              <w:rPr/>
              <w:t xml:space="preserve">Shareable, trackable links for each assessment</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Embeddable widget</w:t>
            </w:r>
          </w:p>
        </w:tc>
        <w:tc>
          <w:tcPr>
            <w:tcBorders>
              <w:top w:val="single" w:sz="1" w:space="0" w:color="000000"/>
              <w:left w:val="single" w:sz="1" w:space="0" w:color="000000"/>
              <w:bottom w:val="single" w:sz="1" w:space="0" w:color="000000"/>
            </w:tcBorders>
          </w:tcPr>
          <w:p>
            <w:pPr>
              <w:spacing w:lineRule="auto"/>
            </w:pPr>
            <w:r>
              <w:rPr/>
              <w:t xml:space="preserve">Embed code for external websites (iframe + JS snippet)</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AI report generation</w:t>
            </w:r>
          </w:p>
        </w:tc>
        <w:tc>
          <w:tcPr>
            <w:tcBorders>
              <w:top w:val="single" w:sz="1" w:space="0" w:color="000000"/>
              <w:left w:val="single" w:sz="1" w:space="0" w:color="000000"/>
              <w:bottom w:val="single" w:sz="1" w:space="0" w:color="000000"/>
            </w:tcBorders>
          </w:tcPr>
          <w:p>
            <w:pPr>
              <w:spacing w:lineRule="auto"/>
            </w:pPr>
            <w:r>
              <w:rPr/>
              <w:t xml:space="preserve">Instant branded PDF via Groq LLM analysis upon completion</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Dual delivery</w:t>
            </w:r>
          </w:p>
        </w:tc>
        <w:tc>
          <w:tcPr>
            <w:tcBorders>
              <w:top w:val="single" w:sz="1" w:space="0" w:color="000000"/>
              <w:left w:val="single" w:sz="1" w:space="0" w:color="000000"/>
              <w:bottom w:val="single" w:sz="1" w:space="0" w:color="000000"/>
            </w:tcBorders>
          </w:tcPr>
          <w:p>
            <w:pPr>
              <w:spacing w:lineRule="auto"/>
            </w:pPr>
            <w:r>
              <w:rPr/>
              <w:t xml:space="preserve">Report auto-sent to both Individual and Professional</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Branded PDF</w:t>
            </w:r>
          </w:p>
        </w:tc>
        <w:tc>
          <w:tcPr>
            <w:tcBorders>
              <w:top w:val="single" w:sz="1" w:space="0" w:color="000000"/>
              <w:left w:val="single" w:sz="1" w:space="0" w:color="000000"/>
              <w:bottom w:val="single" w:sz="1" w:space="0" w:color="000000"/>
            </w:tcBorders>
          </w:tcPr>
          <w:p>
            <w:pPr>
              <w:spacing w:lineRule="auto"/>
            </w:pPr>
            <w:r>
              <w:rPr/>
              <w:t xml:space="preserve">Professional logo and branding on Individual reports</w:t>
            </w:r>
          </w:p>
        </w:tc>
        <w:tc>
          <w:tcPr>
            <w:tcBorders>
              <w:top w:val="single" w:sz="1" w:space="0" w:color="000000"/>
              <w:left w:val="single" w:sz="1" w:space="0" w:color="000000"/>
              <w:bottom w:val="single" w:sz="1" w:space="0" w:color="000000"/>
            </w:tcBorders>
          </w:tcPr>
          <w:p>
            <w:pPr>
              <w:spacing w:lineRule="auto"/>
            </w:pPr>
            <w:r>
              <w:rPr/>
              <w:t xml:space="preserve">P1</w:t>
            </w:r>
          </w:p>
        </w:tc>
      </w:tr>
      <w:tr>
        <w:trPr>
          <w:cantSplit/>
        </w:trPr>
        <w:tc>
          <w:tcPr>
            <w:tcBorders>
              <w:top w:val="single" w:sz="1" w:space="0" w:color="000000"/>
              <w:bottom w:val="single" w:sz="1" w:space="0" w:color="000000"/>
            </w:tcBorders>
          </w:tcPr>
          <w:p>
            <w:pPr>
              <w:spacing w:lineRule="auto"/>
            </w:pPr>
            <w:r>
              <w:rPr/>
              <w:t xml:space="preserve">Retry configuration</w:t>
            </w:r>
          </w:p>
        </w:tc>
        <w:tc>
          <w:tcPr>
            <w:tcBorders>
              <w:top w:val="single" w:sz="1" w:space="0" w:color="000000"/>
              <w:left w:val="single" w:sz="1" w:space="0" w:color="000000"/>
              <w:bottom w:val="single" w:sz="1" w:space="0" w:color="000000"/>
            </w:tcBorders>
          </w:tcPr>
          <w:p>
            <w:pPr>
              <w:spacing w:lineRule="auto"/>
            </w:pPr>
            <w:r>
              <w:rPr/>
              <w:t xml:space="preserve">Tool-level setting for allowing or locking re-attempts</w:t>
            </w:r>
          </w:p>
        </w:tc>
        <w:tc>
          <w:tcPr>
            <w:tcBorders>
              <w:top w:val="single" w:sz="1" w:space="0" w:color="000000"/>
              <w:left w:val="single" w:sz="1" w:space="0" w:color="000000"/>
              <w:bottom w:val="single" w:sz="1" w:space="0" w:color="000000"/>
            </w:tcBorders>
          </w:tcPr>
          <w:p>
            <w:pPr>
              <w:spacing w:lineRule="auto"/>
            </w:pPr>
            <w:r>
              <w:rPr/>
              <w:t xml:space="preserve">P1</w:t>
            </w:r>
          </w:p>
        </w:tc>
      </w:tr>
      <w:tr>
        <w:trPr>
          <w:cantSplit/>
        </w:trPr>
        <w:tc>
          <w:tcPr>
            <w:tcBorders>
              <w:top w:val="single" w:sz="1" w:space="0" w:color="000000"/>
              <w:bottom w:val="single" w:sz="1" w:space="0" w:color="000000"/>
            </w:tcBorders>
          </w:tcPr>
          <w:p>
            <w:pPr>
              <w:spacing w:lineRule="auto"/>
            </w:pPr>
            <w:r>
              <w:rPr/>
              <w:t xml:space="preserve">Tool usage analytics</w:t>
            </w:r>
          </w:p>
        </w:tc>
        <w:tc>
          <w:tcPr>
            <w:tcBorders>
              <w:top w:val="single" w:sz="1" w:space="0" w:color="000000"/>
              <w:left w:val="single" w:sz="1" w:space="0" w:color="000000"/>
              <w:bottom w:val="single" w:sz="1" w:space="0" w:color="000000"/>
            </w:tcBorders>
          </w:tcPr>
          <w:p>
            <w:pPr>
              <w:spacing w:lineRule="auto"/>
            </w:pPr>
            <w:r>
              <w:rPr/>
              <w:t xml:space="preserve">SuperAdmin view of most-used tools across platform</w:t>
            </w:r>
          </w:p>
        </w:tc>
        <w:tc>
          <w:tcPr>
            <w:tcBorders>
              <w:top w:val="single" w:sz="1" w:space="0" w:color="000000"/>
              <w:left w:val="single" w:sz="1" w:space="0" w:color="000000"/>
              <w:bottom w:val="single" w:sz="1" w:space="0" w:color="000000"/>
            </w:tcBorders>
          </w:tcPr>
          <w:p>
            <w:pPr>
              <w:spacing w:lineRule="auto"/>
            </w:pPr>
            <w:r>
              <w:rPr/>
              <w:t xml:space="preserve">P1</w:t>
            </w:r>
          </w:p>
        </w:tc>
      </w:tr>
      <w:tr>
        <w:trPr>
          <w:cantSplit/>
        </w:trPr>
        <w:tc>
          <w:tcPr>
            <w:tcBorders>
              <w:top w:val="single" w:sz="1" w:space="0" w:color="000000"/>
              <w:bottom w:val="single" w:sz="1" w:space="0" w:color="000000"/>
            </w:tcBorders>
          </w:tcPr>
          <w:p>
            <w:pPr>
              <w:spacing w:lineRule="auto"/>
            </w:pPr>
            <w:r>
              <w:rPr/>
              <w:t xml:space="preserve">Longitudinal tracking</w:t>
            </w:r>
          </w:p>
        </w:tc>
        <w:tc>
          <w:tcPr>
            <w:tcBorders>
              <w:top w:val="single" w:sz="1" w:space="0" w:color="000000"/>
              <w:left w:val="single" w:sz="1" w:space="0" w:color="000000"/>
              <w:bottom w:val="single" w:sz="1" w:space="0" w:color="000000"/>
            </w:tcBorders>
          </w:tcPr>
          <w:p>
            <w:pPr>
              <w:spacing w:lineRule="auto"/>
            </w:pPr>
            <w:r>
              <w:rPr/>
              <w:t xml:space="preserve">Multiple tool results per user stored for progress comparison</w:t>
            </w:r>
          </w:p>
        </w:tc>
        <w:tc>
          <w:tcPr>
            <w:tcBorders>
              <w:top w:val="single" w:sz="1" w:space="0" w:color="000000"/>
              <w:left w:val="single" w:sz="1" w:space="0" w:color="000000"/>
              <w:bottom w:val="single" w:sz="1" w:space="0" w:color="000000"/>
            </w:tcBorders>
          </w:tcPr>
          <w:p>
            <w:pPr>
              <w:spacing w:lineRule="auto"/>
            </w:pPr>
            <w:r>
              <w:rPr/>
              <w:t xml:space="preserve">P1</w:t>
            </w:r>
          </w:p>
        </w:tc>
      </w:tr>
    </w:tbl>
    <w:p>
      <w:pPr>
        <w:spacing w:lineRule="auto"/>
      </w:pPr>
    </w:p>
    <w:p>
      <w:pPr>
        <w:spacing w:line="271" w:before="240" w:lineRule="auto"/>
      </w:pPr>
      <w:bookmarkStart w:id="22" w:name="bm_4_3_cohort_and_user_management"/>
      <w:r>
        <w:rPr>
          <w:b/>
          <w:sz w:val="33"/>
        </w:rPr>
        <w:t xml:space="preserve">4.3 Cohort and User Management</w:t>
      </w:r>
      <w:bookmarkEnd w:id="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Feature</w:t>
            </w:r>
          </w:p>
        </w:tc>
        <w:tc>
          <w:tcPr>
            <w:tcBorders>
              <w:top w:val="single" w:sz="1" w:space="0" w:color="000000"/>
              <w:left w:val="single" w:sz="1" w:space="0" w:color="000000"/>
              <w:bottom w:val="single" w:sz="1" w:space="0" w:color="000000"/>
            </w:tcBorders>
          </w:tcPr>
          <w:p>
            <w:pPr>
              <w:spacing w:lineRule="auto"/>
            </w:pPr>
            <w:r>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Priority</w:t>
            </w:r>
          </w:p>
        </w:tc>
      </w:tr>
      <w:tr>
        <w:trPr>
          <w:cantSplit/>
        </w:trPr>
        <w:tc>
          <w:tcPr>
            <w:tcBorders>
              <w:top w:val="single" w:sz="1" w:space="0" w:color="000000"/>
              <w:bottom w:val="single" w:sz="1" w:space="0" w:color="000000"/>
            </w:tcBorders>
          </w:tcPr>
          <w:p>
            <w:pPr>
              <w:spacing w:lineRule="auto"/>
            </w:pPr>
            <w:r>
              <w:rPr/>
              <w:t xml:space="preserve">Individual management</w:t>
            </w:r>
          </w:p>
        </w:tc>
        <w:tc>
          <w:tcPr>
            <w:tcBorders>
              <w:top w:val="single" w:sz="1" w:space="0" w:color="000000"/>
              <w:left w:val="single" w:sz="1" w:space="0" w:color="000000"/>
              <w:bottom w:val="single" w:sz="1" w:space="0" w:color="000000"/>
            </w:tcBorders>
          </w:tcPr>
          <w:p>
            <w:pPr>
              <w:spacing w:lineRule="auto"/>
            </w:pPr>
            <w:r>
              <w:rPr/>
              <w:t xml:space="preserve">Add, activate, archive individual clients</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Cohort creation</w:t>
            </w:r>
          </w:p>
        </w:tc>
        <w:tc>
          <w:tcPr>
            <w:tcBorders>
              <w:top w:val="single" w:sz="1" w:space="0" w:color="000000"/>
              <w:left w:val="single" w:sz="1" w:space="0" w:color="000000"/>
              <w:bottom w:val="single" w:sz="1" w:space="0" w:color="000000"/>
            </w:tcBorders>
          </w:tcPr>
          <w:p>
            <w:pPr>
              <w:spacing w:lineRule="auto"/>
            </w:pPr>
            <w:r>
              <w:rPr/>
              <w:t xml:space="preserve">Named cohorts with bulk Individual assignment</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CSV bulk onboarding</w:t>
            </w:r>
          </w:p>
        </w:tc>
        <w:tc>
          <w:tcPr>
            <w:tcBorders>
              <w:top w:val="single" w:sz="1" w:space="0" w:color="000000"/>
              <w:left w:val="single" w:sz="1" w:space="0" w:color="000000"/>
              <w:bottom w:val="single" w:sz="1" w:space="0" w:color="000000"/>
            </w:tcBorders>
          </w:tcPr>
          <w:p>
            <w:pPr>
              <w:spacing w:lineRule="auto"/>
            </w:pPr>
            <w:r>
              <w:rPr/>
              <w:t xml:space="preserve">Upload spreadsheet to populate cohort</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Archive logic</w:t>
            </w:r>
          </w:p>
        </w:tc>
        <w:tc>
          <w:tcPr>
            <w:tcBorders>
              <w:top w:val="single" w:sz="1" w:space="0" w:color="000000"/>
              <w:left w:val="single" w:sz="1" w:space="0" w:color="000000"/>
              <w:bottom w:val="single" w:sz="1" w:space="0" w:color="000000"/>
            </w:tcBorders>
          </w:tcPr>
          <w:p>
            <w:pPr>
              <w:spacing w:lineRule="auto"/>
            </w:pPr>
            <w:r>
              <w:rPr/>
              <w:t xml:space="preserve">Move inactive Individuals/cohorts to archive</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Role-based access control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Strict data isolation — Professional A cannot see Professional B's data</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Professional approval workflow</w:t>
            </w:r>
          </w:p>
        </w:tc>
        <w:tc>
          <w:tcPr>
            <w:tcBorders>
              <w:top w:val="single" w:sz="1" w:space="0" w:color="000000"/>
              <w:left w:val="single" w:sz="1" w:space="0" w:color="000000"/>
              <w:bottom w:val="single" w:sz="1" w:space="0" w:color="000000"/>
            </w:tcBorders>
          </w:tcPr>
          <w:p>
            <w:pPr>
              <w:spacing w:lineRule="auto"/>
            </w:pPr>
            <w:r>
              <w:rPr/>
              <w:t xml:space="preserve">SuperAdmin approves or deactivates Professional accounts</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Company member management</w:t>
            </w:r>
          </w:p>
        </w:tc>
        <w:tc>
          <w:tcPr>
            <w:tcBorders>
              <w:top w:val="single" w:sz="1" w:space="0" w:color="000000"/>
              <w:left w:val="single" w:sz="1" w:space="0" w:color="000000"/>
              <w:bottom w:val="single" w:sz="1" w:space="0" w:color="000000"/>
            </w:tcBorders>
          </w:tcPr>
          <w:p>
            <w:pPr>
              <w:spacing w:lineRule="auto"/>
            </w:pPr>
            <w:r>
              <w:rPr/>
              <w:t xml:space="preserve">Company adds/removes Professionals from their organization</w:t>
            </w:r>
          </w:p>
        </w:tc>
        <w:tc>
          <w:tcPr>
            <w:tcBorders>
              <w:top w:val="single" w:sz="1" w:space="0" w:color="000000"/>
              <w:left w:val="single" w:sz="1" w:space="0" w:color="000000"/>
              <w:bottom w:val="single" w:sz="1" w:space="0" w:color="000000"/>
            </w:tcBorders>
          </w:tcPr>
          <w:p>
            <w:pPr>
              <w:spacing w:lineRule="auto"/>
            </w:pPr>
            <w:r>
              <w:rPr/>
              <w:t xml:space="preserve">P0</w:t>
            </w:r>
          </w:p>
        </w:tc>
      </w:tr>
    </w:tbl>
    <w:p>
      <w:pPr>
        <w:spacing w:lineRule="auto"/>
      </w:pPr>
    </w:p>
    <w:p>
      <w:pPr>
        <w:spacing w:line="271" w:before="240" w:lineRule="auto"/>
      </w:pPr>
      <w:bookmarkStart w:id="23" w:name="bm_4_4_reports_and_analytics"/>
      <w:r>
        <w:rPr>
          <w:b/>
          <w:sz w:val="33"/>
        </w:rPr>
        <w:t xml:space="preserve">4.4 Reports and Analytics</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Feature</w:t>
            </w:r>
          </w:p>
        </w:tc>
        <w:tc>
          <w:tcPr>
            <w:tcBorders>
              <w:top w:val="single" w:sz="1" w:space="0" w:color="000000"/>
              <w:left w:val="single" w:sz="1" w:space="0" w:color="000000"/>
              <w:bottom w:val="single" w:sz="1" w:space="0" w:color="000000"/>
            </w:tcBorders>
          </w:tcPr>
          <w:p>
            <w:pPr>
              <w:spacing w:lineRule="auto"/>
            </w:pPr>
            <w:r>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Priority</w:t>
            </w:r>
          </w:p>
        </w:tc>
      </w:tr>
      <w:tr>
        <w:trPr>
          <w:cantSplit/>
        </w:trPr>
        <w:tc>
          <w:tcPr>
            <w:tcBorders>
              <w:top w:val="single" w:sz="1" w:space="0" w:color="000000"/>
              <w:bottom w:val="single" w:sz="1" w:space="0" w:color="000000"/>
            </w:tcBorders>
          </w:tcPr>
          <w:p>
            <w:pPr>
              <w:spacing w:lineRule="auto"/>
            </w:pPr>
            <w:r>
              <w:rPr/>
              <w:t xml:space="preserve">Professional dashboard</w:t>
            </w:r>
          </w:p>
        </w:tc>
        <w:tc>
          <w:tcPr>
            <w:tcBorders>
              <w:top w:val="single" w:sz="1" w:space="0" w:color="000000"/>
              <w:left w:val="single" w:sz="1" w:space="0" w:color="000000"/>
              <w:bottom w:val="single" w:sz="1" w:space="0" w:color="000000"/>
            </w:tcBorders>
          </w:tcPr>
          <w:p>
            <w:pPr>
              <w:spacing w:lineRule="auto"/>
            </w:pPr>
            <w:r>
              <w:rPr/>
              <w:t xml:space="preserve">Visual overview of cohort progress (e.g., 70% of Cohort A completed Clarity Test)</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Individual PDF report</w:t>
            </w:r>
          </w:p>
        </w:tc>
        <w:tc>
          <w:tcPr>
            <w:tcBorders>
              <w:top w:val="single" w:sz="1" w:space="0" w:color="000000"/>
              <w:left w:val="single" w:sz="1" w:space="0" w:color="000000"/>
              <w:bottom w:val="single" w:sz="1" w:space="0" w:color="000000"/>
            </w:tcBorders>
          </w:tcPr>
          <w:p>
            <w:pPr>
              <w:spacing w:lineRule="auto"/>
            </w:pPr>
            <w:r>
              <w:rPr/>
              <w:t xml:space="preserve">Branded, downloadable growth report per Individual</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SuperAdmin audit dashboard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Platform-wide analytics — users, revenue, tool usage</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Company analytics view</w:t>
            </w:r>
          </w:p>
        </w:tc>
        <w:tc>
          <w:tcPr>
            <w:tcBorders>
              <w:top w:val="single" w:sz="1" w:space="0" w:color="000000"/>
              <w:left w:val="single" w:sz="1" w:space="0" w:color="000000"/>
              <w:bottom w:val="single" w:sz="1" w:space="0" w:color="000000"/>
            </w:tcBorders>
          </w:tcPr>
          <w:p>
            <w:pPr>
              <w:spacing w:lineRule="auto"/>
            </w:pPr>
            <w:r>
              <w:rPr/>
              <w:t xml:space="preserve">Aggregate data across all Professionals in the organization</w:t>
            </w:r>
          </w:p>
        </w:tc>
        <w:tc>
          <w:tcPr>
            <w:tcBorders>
              <w:top w:val="single" w:sz="1" w:space="0" w:color="000000"/>
              <w:left w:val="single" w:sz="1" w:space="0" w:color="000000"/>
              <w:bottom w:val="single" w:sz="1" w:space="0" w:color="000000"/>
            </w:tcBorders>
          </w:tcPr>
          <w:p>
            <w:pPr>
              <w:spacing w:lineRule="auto"/>
            </w:pPr>
            <w:r>
              <w:rPr/>
              <w:t xml:space="preserve">P1</w:t>
            </w:r>
          </w:p>
        </w:tc>
      </w:tr>
      <w:tr>
        <w:trPr>
          <w:cantSplit/>
        </w:trPr>
        <w:tc>
          <w:tcPr>
            <w:tcBorders>
              <w:top w:val="single" w:sz="1" w:space="0" w:color="000000"/>
              <w:bottom w:val="single" w:sz="1" w:space="0" w:color="000000"/>
            </w:tcBorders>
          </w:tcPr>
          <w:p>
            <w:pPr>
              <w:spacing w:lineRule="auto"/>
            </w:pPr>
            <w:r>
              <w:rPr/>
              <w:t xml:space="preserve">Longitudinal growth profile</w:t>
            </w:r>
          </w:p>
        </w:tc>
        <w:tc>
          <w:tcPr>
            <w:tcBorders>
              <w:top w:val="single" w:sz="1" w:space="0" w:color="000000"/>
              <w:left w:val="single" w:sz="1" w:space="0" w:color="000000"/>
              <w:bottom w:val="single" w:sz="1" w:space="0" w:color="000000"/>
            </w:tcBorders>
          </w:tcPr>
          <w:p>
            <w:pPr>
              <w:spacing w:lineRule="auto"/>
            </w:pPr>
            <w:r>
              <w:rPr/>
              <w:t xml:space="preserve">Per-Individual report history showing evolution over time</w:t>
            </w:r>
          </w:p>
        </w:tc>
        <w:tc>
          <w:tcPr>
            <w:tcBorders>
              <w:top w:val="single" w:sz="1" w:space="0" w:color="000000"/>
              <w:left w:val="single" w:sz="1" w:space="0" w:color="000000"/>
              <w:bottom w:val="single" w:sz="1" w:space="0" w:color="000000"/>
            </w:tcBorders>
          </w:tcPr>
          <w:p>
            <w:pPr>
              <w:spacing w:lineRule="auto"/>
            </w:pPr>
            <w:r>
              <w:rPr/>
              <w:t xml:space="preserve">P1</w:t>
            </w:r>
          </w:p>
        </w:tc>
      </w:tr>
    </w:tbl>
    <w:p>
      <w:pPr>
        <w:spacing w:lineRule="auto"/>
      </w:pPr>
    </w:p>
    <w:p>
      <w:pPr>
        <w:spacing w:line="271" w:before="240" w:lineRule="auto"/>
      </w:pPr>
      <w:bookmarkStart w:id="24" w:name="bm_4_5_events"/>
      <w:r>
        <w:rPr>
          <w:b/>
          <w:sz w:val="33"/>
        </w:rPr>
        <w:t xml:space="preserve">4.5 Events</w:t>
      </w:r>
      <w:bookmarkEnd w:id="2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Feature</w:t>
            </w:r>
          </w:p>
        </w:tc>
        <w:tc>
          <w:tcPr>
            <w:tcBorders>
              <w:top w:val="single" w:sz="1" w:space="0" w:color="000000"/>
              <w:left w:val="single" w:sz="1" w:space="0" w:color="000000"/>
              <w:bottom w:val="single" w:sz="1" w:space="0" w:color="000000"/>
            </w:tcBorders>
          </w:tcPr>
          <w:p>
            <w:pPr>
              <w:spacing w:lineRule="auto"/>
            </w:pPr>
            <w:r>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Priority</w:t>
            </w:r>
          </w:p>
        </w:tc>
      </w:tr>
      <w:tr>
        <w:trPr>
          <w:cantSplit/>
        </w:trPr>
        <w:tc>
          <w:tcPr>
            <w:tcBorders>
              <w:top w:val="single" w:sz="1" w:space="0" w:color="000000"/>
              <w:bottom w:val="single" w:sz="1" w:space="0" w:color="000000"/>
            </w:tcBorders>
          </w:tcPr>
          <w:p>
            <w:pPr>
              <w:spacing w:lineRule="auto"/>
            </w:pPr>
            <w:r>
              <w:rPr/>
              <w:t xml:space="preserve">Global events</w:t>
            </w:r>
          </w:p>
        </w:tc>
        <w:tc>
          <w:tcPr>
            <w:tcBorders>
              <w:top w:val="single" w:sz="1" w:space="0" w:color="000000"/>
              <w:left w:val="single" w:sz="1" w:space="0" w:color="000000"/>
              <w:bottom w:val="single" w:sz="1" w:space="0" w:color="000000"/>
            </w:tcBorders>
          </w:tcPr>
          <w:p>
            <w:pPr>
              <w:spacing w:lineRule="auto"/>
            </w:pPr>
            <w:r>
              <w:rPr/>
              <w:t xml:space="preserve">SuperAdmin-created platform-wide webinars and workshops</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Private professional events</w:t>
            </w:r>
          </w:p>
        </w:tc>
        <w:tc>
          <w:tcPr>
            <w:tcBorders>
              <w:top w:val="single" w:sz="1" w:space="0" w:color="000000"/>
              <w:left w:val="single" w:sz="1" w:space="0" w:color="000000"/>
              <w:bottom w:val="single" w:sz="1" w:space="0" w:color="000000"/>
            </w:tcBorders>
          </w:tcPr>
          <w:p>
            <w:pPr>
              <w:spacing w:lineRule="auto"/>
            </w:pPr>
            <w:r>
              <w:rPr/>
              <w:t xml:space="preserve">Cohort-specific sessions visible only to assigned Individuals</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Event referral / share</w:t>
            </w:r>
          </w:p>
        </w:tc>
        <w:tc>
          <w:tcPr>
            <w:tcBorders>
              <w:top w:val="single" w:sz="1" w:space="0" w:color="000000"/>
              <w:left w:val="single" w:sz="1" w:space="0" w:color="000000"/>
              <w:bottom w:val="single" w:sz="1" w:space="0" w:color="000000"/>
            </w:tcBorders>
          </w:tcPr>
          <w:p>
            <w:pPr>
              <w:spacing w:lineRule="auto"/>
            </w:pPr>
            <w:r>
              <w:rPr/>
              <w:t xml:space="preserve">Native Share button to refer to other platform users</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Event registration</w:t>
            </w:r>
          </w:p>
        </w:tc>
        <w:tc>
          <w:tcPr>
            <w:tcBorders>
              <w:top w:val="single" w:sz="1" w:space="0" w:color="000000"/>
              <w:left w:val="single" w:sz="1" w:space="0" w:color="000000"/>
              <w:bottom w:val="single" w:sz="1" w:space="0" w:color="000000"/>
            </w:tcBorders>
          </w:tcPr>
          <w:p>
            <w:pPr>
              <w:spacing w:lineRule="auto"/>
            </w:pPr>
            <w:r>
              <w:rPr/>
              <w:t xml:space="preserve">Simple RSVP and reminder system</w:t>
            </w:r>
          </w:p>
        </w:tc>
        <w:tc>
          <w:tcPr>
            <w:tcBorders>
              <w:top w:val="single" w:sz="1" w:space="0" w:color="000000"/>
              <w:left w:val="single" w:sz="1" w:space="0" w:color="000000"/>
              <w:bottom w:val="single" w:sz="1" w:space="0" w:color="000000"/>
            </w:tcBorders>
          </w:tcPr>
          <w:p>
            <w:pPr>
              <w:spacing w:lineRule="auto"/>
            </w:pPr>
            <w:r>
              <w:rPr/>
              <w:t xml:space="preserve">P1</w:t>
            </w:r>
          </w:p>
        </w:tc>
      </w:tr>
      <w:tr>
        <w:trPr>
          <w:cantSplit/>
        </w:trPr>
        <w:tc>
          <w:tcPr>
            <w:tcBorders>
              <w:top w:val="single" w:sz="1" w:space="0" w:color="000000"/>
              <w:bottom w:val="single" w:sz="1" w:space="0" w:color="000000"/>
            </w:tcBorders>
          </w:tcPr>
          <w:p>
            <w:pPr>
              <w:spacing w:lineRule="auto"/>
            </w:pPr>
            <w:r>
              <w:rPr/>
              <w:t xml:space="preserve">Paid event ticketing</w:t>
            </w:r>
          </w:p>
        </w:tc>
        <w:tc>
          <w:tcPr>
            <w:tcBorders>
              <w:top w:val="single" w:sz="1" w:space="0" w:color="000000"/>
              <w:left w:val="single" w:sz="1" w:space="0" w:color="000000"/>
              <w:bottom w:val="single" w:sz="1" w:space="0" w:color="000000"/>
            </w:tcBorders>
          </w:tcPr>
          <w:p>
            <w:pPr>
              <w:spacing w:lineRule="auto"/>
            </w:pPr>
            <w:r>
              <w:rPr/>
              <w:t xml:space="preserve">Stripe integration for paid event registration</w:t>
            </w:r>
          </w:p>
        </w:tc>
        <w:tc>
          <w:tcPr>
            <w:tcBorders>
              <w:top w:val="single" w:sz="1" w:space="0" w:color="000000"/>
              <w:left w:val="single" w:sz="1" w:space="0" w:color="000000"/>
              <w:bottom w:val="single" w:sz="1" w:space="0" w:color="000000"/>
            </w:tcBorders>
          </w:tcPr>
          <w:p>
            <w:pPr>
              <w:spacing w:lineRule="auto"/>
            </w:pPr>
            <w:r>
              <w:rPr/>
              <w:t xml:space="preserve">P1</w:t>
            </w:r>
          </w:p>
        </w:tc>
      </w:tr>
    </w:tbl>
    <w:p>
      <w:pPr>
        <w:spacing w:lineRule="auto"/>
      </w:pPr>
    </w:p>
    <w:p>
      <w:pPr>
        <w:spacing w:line="271" w:before="240" w:lineRule="auto"/>
      </w:pPr>
      <w:bookmarkStart w:id="25" w:name="bm_4_6_platform_and_infrastructure"/>
      <w:r>
        <w:rPr>
          <w:b/>
          <w:sz w:val="33"/>
        </w:rPr>
        <w:t xml:space="preserve">4.6 Platform and Infrastructure</w:t>
      </w:r>
      <w:bookmarkEnd w:id="2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Feature</w:t>
            </w:r>
          </w:p>
        </w:tc>
        <w:tc>
          <w:tcPr>
            <w:tcBorders>
              <w:top w:val="single" w:sz="1" w:space="0" w:color="000000"/>
              <w:left w:val="single" w:sz="1" w:space="0" w:color="000000"/>
              <w:bottom w:val="single" w:sz="1" w:space="0" w:color="000000"/>
            </w:tcBorders>
          </w:tcPr>
          <w:p>
            <w:pPr>
              <w:spacing w:lineRule="auto"/>
            </w:pPr>
            <w:r>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Priority</w:t>
            </w:r>
          </w:p>
        </w:tc>
      </w:tr>
      <w:tr>
        <w:trPr>
          <w:cantSplit/>
        </w:trPr>
        <w:tc>
          <w:tcPr>
            <w:tcBorders>
              <w:top w:val="single" w:sz="1" w:space="0" w:color="000000"/>
              <w:bottom w:val="single" w:sz="1" w:space="0" w:color="000000"/>
            </w:tcBorders>
          </w:tcPr>
          <w:p>
            <w:pPr>
              <w:spacing w:lineRule="auto"/>
            </w:pPr>
            <w:r>
              <w:rPr/>
              <w:t xml:space="preserve">Web portal</w:t>
            </w:r>
          </w:p>
        </w:tc>
        <w:tc>
          <w:tcPr>
            <w:tcBorders>
              <w:top w:val="single" w:sz="1" w:space="0" w:color="000000"/>
              <w:left w:val="single" w:sz="1" w:space="0" w:color="000000"/>
              <w:bottom w:val="single" w:sz="1" w:space="0" w:color="000000"/>
            </w:tcBorders>
          </w:tcPr>
          <w:p>
            <w:pPr>
              <w:spacing w:lineRule="auto"/>
            </w:pPr>
            <w:r>
              <w:rPr/>
              <w:t xml:space="preserve">Responsive full-featured browser application</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Mobile application</w:t>
            </w:r>
          </w:p>
        </w:tc>
        <w:tc>
          <w:tcPr>
            <w:tcBorders>
              <w:top w:val="single" w:sz="1" w:space="0" w:color="000000"/>
              <w:left w:val="single" w:sz="1" w:space="0" w:color="000000"/>
              <w:bottom w:val="single" w:sz="1" w:space="0" w:color="000000"/>
            </w:tcBorders>
          </w:tcPr>
          <w:p>
            <w:pPr>
              <w:spacing w:lineRule="auto"/>
            </w:pPr>
            <w:r>
              <w:rPr/>
              <w:t xml:space="preserve">Capacitor-based native wrapper for iOS and Android</w:t>
            </w:r>
          </w:p>
        </w:tc>
        <w:tc>
          <w:tcPr>
            <w:tcBorders>
              <w:top w:val="single" w:sz="1" w:space="0" w:color="000000"/>
              <w:left w:val="single" w:sz="1" w:space="0" w:color="000000"/>
              <w:bottom w:val="single" w:sz="1" w:space="0" w:color="000000"/>
            </w:tcBorders>
          </w:tcPr>
          <w:p>
            <w:pPr>
              <w:spacing w:lineRule="auto"/>
            </w:pPr>
            <w:r>
              <w:rPr/>
              <w:t xml:space="preserve">P1</w:t>
            </w:r>
          </w:p>
        </w:tc>
      </w:tr>
      <w:tr>
        <w:trPr>
          <w:cantSplit/>
        </w:trPr>
        <w:tc>
          <w:tcPr>
            <w:tcBorders>
              <w:top w:val="single" w:sz="1" w:space="0" w:color="000000"/>
              <w:bottom w:val="single" w:sz="1" w:space="0" w:color="000000"/>
            </w:tcBorders>
          </w:tcPr>
          <w:p>
            <w:pPr>
              <w:spacing w:lineRule="auto"/>
            </w:pPr>
            <w:r>
              <w:rPr/>
              <w:t xml:space="preserve">Multi-tenant architecture</w:t>
            </w:r>
          </w:p>
        </w:tc>
        <w:tc>
          <w:tcPr>
            <w:tcBorders>
              <w:top w:val="single" w:sz="1" w:space="0" w:color="000000"/>
              <w:left w:val="single" w:sz="1" w:space="0" w:color="000000"/>
              <w:bottom w:val="single" w:sz="1" w:space="0" w:color="000000"/>
            </w:tcBorders>
          </w:tcPr>
          <w:p>
            <w:pPr>
              <w:spacing w:lineRule="auto"/>
            </w:pPr>
            <w:r>
              <w:rPr/>
              <w:t xml:space="preserve">Studio-type tenant isolation; Company/Professional data scoping</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Notification system</w:t>
            </w:r>
          </w:p>
        </w:tc>
        <w:tc>
          <w:tcPr>
            <w:tcBorders>
              <w:top w:val="single" w:sz="1" w:space="0" w:color="000000"/>
              <w:left w:val="single" w:sz="1" w:space="0" w:color="000000"/>
              <w:bottom w:val="single" w:sz="1" w:space="0" w:color="000000"/>
            </w:tcBorders>
          </w:tcPr>
          <w:p>
            <w:pPr>
              <w:spacing w:lineRule="auto"/>
            </w:pPr>
            <w:r>
              <w:rPr/>
              <w:t xml:space="preserve">Email (Resend) and in-app notifications for assignments, completions, events</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Payment processing</w:t>
            </w:r>
          </w:p>
        </w:tc>
        <w:tc>
          <w:tcPr>
            <w:tcBorders>
              <w:top w:val="single" w:sz="1" w:space="0" w:color="000000"/>
              <w:left w:val="single" w:sz="1" w:space="0" w:color="000000"/>
              <w:bottom w:val="single" w:sz="1" w:space="0" w:color="000000"/>
            </w:tcBorders>
          </w:tcPr>
          <w:p>
            <w:pPr>
              <w:spacing w:lineRule="auto"/>
            </w:pPr>
            <w:r>
              <w:rPr/>
              <w:t xml:space="preserve">Stripe integration for program and event purchases</w:t>
            </w:r>
          </w:p>
        </w:tc>
        <w:tc>
          <w:tcPr>
            <w:tcBorders>
              <w:top w:val="single" w:sz="1" w:space="0" w:color="000000"/>
              <w:left w:val="single" w:sz="1" w:space="0" w:color="000000"/>
              <w:bottom w:val="single" w:sz="1" w:space="0" w:color="000000"/>
            </w:tcBorders>
          </w:tcPr>
          <w:p>
            <w:pPr>
              <w:spacing w:lineRule="auto"/>
            </w:pPr>
            <w:r>
              <w:rPr/>
              <w:t xml:space="preserve">P0</w:t>
            </w:r>
          </w:p>
        </w:tc>
      </w:tr>
      <w:tr>
        <w:trPr>
          <w:cantSplit/>
        </w:trPr>
        <w:tc>
          <w:tcPr>
            <w:tcBorders>
              <w:top w:val="single" w:sz="1" w:space="0" w:color="000000"/>
              <w:bottom w:val="single" w:sz="1" w:space="0" w:color="000000"/>
            </w:tcBorders>
          </w:tcPr>
          <w:p>
            <w:pPr>
              <w:spacing w:lineRule="auto"/>
            </w:pPr>
            <w:r>
              <w:rPr/>
              <w:t xml:space="preserve">Studio configuration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STUDIO_TYPE env-driven skin, terminology, and catalog defaults</w:t>
            </w:r>
          </w:p>
        </w:tc>
        <w:tc>
          <w:tcPr>
            <w:tcBorders>
              <w:top w:val="single" w:sz="1" w:space="0" w:color="000000"/>
              <w:left w:val="single" w:sz="1" w:space="0" w:color="000000"/>
              <w:bottom w:val="single" w:sz="1" w:space="0" w:color="000000"/>
            </w:tcBorders>
          </w:tcPr>
          <w:p>
            <w:pPr>
              <w:spacing w:lineRule="auto"/>
            </w:pPr>
            <w:r>
              <w:rPr/>
              <w:t xml:space="preserve">P0</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section_5_market_opportunity"/>
      <w:r>
        <w:rPr>
          <w:rFonts w:eastAsia="Georgia" w:cs="Georgia" w:ascii="Georgia" w:hAnsi="Georgia"/>
          <w:b/>
          <w:sz w:val="42"/>
        </w:rPr>
        <w:t xml:space="preserve">Section 5 — Market Opportunity</w:t>
      </w:r>
      <w:bookmarkEnd w:id="26"/>
    </w:p>
    <w:p>
      <w:pPr>
        <w:spacing w:line="271" w:before="240" w:lineRule="auto"/>
      </w:pPr>
      <w:bookmarkStart w:id="27" w:name="bm_5_1_the_combined_addressable_market"/>
      <w:r>
        <w:rPr>
          <w:b/>
          <w:sz w:val="33"/>
        </w:rPr>
        <w:t xml:space="preserve">5.1 The Combined Addressable Market</w:t>
      </w:r>
      <w:bookmarkEnd w:id="27"/>
    </w:p>
    <w:p>
      <w:pPr>
        <w:spacing w:after="210" w:lineRule="auto"/>
      </w:pPr>
      <w:r>
        <w:rPr/>
        <w:t xml:space="preserve">StudioVerse's three-vertical strategy positions the platform at the intersection of three massive, independently growing markets. The combined serviceable opportunity is one of the largest available to a professional services SaaS platform today.</w:t>
      </w:r>
    </w:p>
    <w:p>
      <w:pPr>
        <w:spacing w:after="210" w:lineRule="auto"/>
      </w:pPr>
      <w:r>
        <w:rPr>
          <w:b/>
        </w:rPr>
        <w:t xml:space="preserve">Market 1 — Professional Coaching</w:t>
      </w:r>
      <w:r>
        <w:rPr/>
        <w:br w:type="textWrapping"/>
      </w:r>
      <w:r>
        <w:rPr>
          <w:rFonts w:eastAsia="Georgia" w:cs="Georgia" w:ascii="Georgia" w:hAnsi="Georgia"/>
        </w:rPr>
        <w:t xml:space="preserve">The global coaching industry generated $5.34 billion in revenue in 2025 (ICF Global Coaching Study, 2025), representing a record 122,974 certified coach practitioners globally — a 15% increase since 2023. The coaching platform software segment specifically is valued at $3.8 billion in 2025, projected to reach $11.1 billion by 2035 at an 11% CAGR. India is the world's second-fastest growing coaching market at 9.5% CAGR. The executive coaching certification market alone is forecast to reach $35.4 billion by 2035 at a 10.8% CAGR. The broader coaching ecosystem — including technology platforms, training programs, and adjacent services — is estimated at over $25 billion globally in 2025 (PwC data).</w:t>
      </w:r>
    </w:p>
    <w:p>
      <w:pPr>
        <w:spacing w:after="210" w:lineRule="auto"/>
      </w:pPr>
      <w:r>
        <w:rPr>
          <w:b/>
        </w:rPr>
        <w:t xml:space="preserve">Market 2 — Corporate Training and L&amp;D</w:t>
      </w:r>
      <w:r>
        <w:rPr/>
        <w:br w:type="textWrapping"/>
      </w:r>
      <w:r>
        <w:rPr>
          <w:rFonts w:eastAsia="Georgia" w:cs="Georgia" w:ascii="Georgia" w:hAnsi="Georgia"/>
        </w:rPr>
        <w:t xml:space="preserve">The global corporate training market was valued at $417.53 billion in 2025, projected to reach $541.3 billion by 2030. The corporate e-learning segment within this is growing even faster — valued at $125.61 billion in 2025 with a projected CAGR of 21.7% through 2030, reaching $334.96 billion. Organizations are investing massively in digital-first training solutions as AI-powered learning platforms, continuous reskilling demands, and immersive learning technologies reshape the workforce development landscape.</w:t>
      </w:r>
    </w:p>
    <w:p>
      <w:pPr>
        <w:spacing w:after="210" w:lineRule="auto"/>
      </w:pPr>
      <w:r>
        <w:rPr>
          <w:b/>
        </w:rPr>
        <w:t xml:space="preserve">Market 3 — Talent Acquisition and Recruitment Technology</w:t>
      </w:r>
      <w:r>
        <w:rPr/>
        <w:br w:type="textWrapping"/>
      </w:r>
      <w:r>
        <w:rPr/>
        <w:t xml:space="preserve">The global talent acquisition software market is valued at $10.95 billion in 2026, growing at a CAGR of 5.63% to reach $14.4 billion by 2031. The broader talent acquisition suites market was valued at $9.15 billion in 2025 with a projected 14% CAGR through 2033. AI-powered hiring tools, digital HR transformation, and demand for scalable, assessment-driven recruitment processes are the primary growth drivers.</w:t>
      </w:r>
    </w:p>
    <w:p>
      <w:pPr>
        <w:spacing w:after="210" w:lineRule="auto"/>
      </w:pPr>
      <w:r>
        <w:rPr>
          <w:b/>
        </w:rPr>
        <w:t xml:space="preserve">Combined Total Addressable Market (TAM): $430+ billion</w:t>
      </w:r>
    </w:p>
    <w:p>
      <w:pPr>
        <w:spacing w:after="210" w:lineRule="auto"/>
      </w:pPr>
      <w:r>
        <w:rPr>
          <w:rFonts w:eastAsia="Georgia" w:cs="Georgia" w:ascii="Georgia" w:hAnsi="Georgia"/>
        </w:rPr>
        <w:t xml:space="preserve">StudioVerse's Serviceable Addressable Market (SAM) — the platform software and tooling segment within these markets — represents tens of billions of dollars, with a clear early beachhead in independent Professionals and mid-market Companies across all three verticals.</w:t>
      </w:r>
    </w:p>
    <w:p>
      <w:pPr>
        <w:spacing w:line="271" w:before="240" w:lineRule="auto"/>
      </w:pPr>
      <w:bookmarkStart w:id="28" w:name="bm_5_2_target_customer_segments"/>
      <w:r>
        <w:rPr>
          <w:b/>
          <w:sz w:val="33"/>
        </w:rPr>
        <w:t xml:space="preserve">5.2 Target Customer Segments</w:t>
      </w:r>
      <w:bookmarkEnd w:id="28"/>
    </w:p>
    <w:p>
      <w:pPr>
        <w:spacing w:after="210" w:lineRule="auto"/>
      </w:pPr>
      <w:r>
        <w:rPr>
          <w:b/>
        </w:rPr>
        <w:t xml:space="preserve">Tier 1 — Independent Professionals</w:t>
      </w:r>
      <w:r>
        <w:rPr/>
        <w:br w:type="textWrapping"/>
      </w:r>
      <w:r>
        <w:rPr>
          <w:rFonts w:eastAsia="Georgia" w:cs="Georgia" w:ascii="Georgia" w:hAnsi="Georgia"/>
        </w:rPr>
        <w:t xml:space="preserve">Estimated 1.5 million people actively offering coaching services globally. Hundreds of thousands of independent trainers and facilitators operating outside large institutions. A growing population of boutique and independent recruiters. The vast majority operate with no dedicated platform — monthly platform spend is $0–$60 across disconnected tools. StudioVerse's Pro subscription at $49–$79/month represents a compelling consolidation of 4–6 existing tool costs.</w:t>
      </w:r>
    </w:p>
    <w:p>
      <w:pPr>
        <w:spacing w:after="210" w:lineRule="auto"/>
      </w:pPr>
      <w:r>
        <w:rPr>
          <w:b/>
        </w:rPr>
        <w:t xml:space="preserve">Tier 2 — Companies (Coaching Firms, Training Companies, Recruitment Agencies)</w:t>
      </w:r>
      <w:r>
        <w:rPr/>
        <w:br w:type="textWrapping"/>
      </w:r>
      <w:r>
        <w:rPr>
          <w:rFonts w:eastAsia="Georgia" w:cs="Georgia" w:ascii="Georgia" w:hAnsi="Georgia"/>
        </w:rPr>
        <w:t xml:space="preserve">Typically managing 5–100 Professionals per organization. Strong ROI driver: standardization and analytics replace headcount-heavy reporting processes. Average contract value significantly higher than individual subscriptions. The enterprise tier's white-label capability makes StudioVerse invisible to their clients — the Company operates a fully branded instance as their proprietary delivery platform.</w:t>
      </w:r>
    </w:p>
    <w:p>
      <w:pPr>
        <w:spacing w:after="210" w:lineRule="auto"/>
      </w:pPr>
      <w:r>
        <w:rPr>
          <w:b/>
        </w:rPr>
        <w:t xml:space="preserve">Tier 3 — Self-Directed Individuals</w:t>
      </w:r>
      <w:r>
        <w:rPr/>
        <w:br w:type="textWrapping"/>
      </w:r>
      <w:r>
        <w:rPr/>
        <w:t xml:space="preserve">A growing population of individuals investing in personal development outside of employer programs. Attracted by assessment tools (Clarity, Reflection, Personality Style) as self-discovery instruments. The marketplace represents a direct monetization channel. This segment is the entry point into a potential future direct-to-consumer professional development marketplace.</w:t>
      </w:r>
    </w:p>
    <w:p>
      <w:pPr>
        <w:spacing w:after="210" w:lineRule="auto"/>
      </w:pPr>
      <w:r>
        <w:rPr>
          <w:b/>
        </w:rPr>
        <w:t xml:space="preserve">Tier 4 — Institutional and Enterprise Buyers</w:t>
      </w:r>
      <w:r>
        <w:rPr/>
        <w:br w:type="textWrapping"/>
      </w:r>
      <w:r>
        <w:rPr>
          <w:rFonts w:eastAsia="Georgia" w:cs="Georgia" w:ascii="Georgia" w:hAnsi="Georgia"/>
        </w:rPr>
        <w:t xml:space="preserve">HR departments, L&amp;D functions, and talent acquisition teams at mid-to-large organizations seeking unified platforms for coaching, training, and recruitment assessment. These buyers represent the highest contract values and the longest retention. StudioVerse's multi-Studio capability means a single enterprise buyer can deploy Coaching Studio for executive coaching, Training Studio for L&amp;D, and Recruitment Studio for talent assessment — all on one platform contract.</w:t>
      </w:r>
    </w:p>
    <w:p>
      <w:pPr>
        <w:spacing w:line="271" w:before="240" w:lineRule="auto"/>
      </w:pPr>
      <w:bookmarkStart w:id="29" w:name="bm_5_3_competitive_landscape"/>
      <w:r>
        <w:rPr>
          <w:b/>
          <w:sz w:val="33"/>
        </w:rPr>
        <w:t xml:space="preserve">5.3 Competitive Landscape</w:t>
      </w:r>
      <w:bookmarkEnd w:id="29"/>
    </w:p>
    <w:p>
      <w:pPr>
        <w:spacing w:after="210" w:lineRule="auto"/>
      </w:pPr>
      <w:r>
        <w:rPr>
          <w:b/>
        </w:rPr>
        <w:t xml:space="preserve">Coaching Studio Competitors: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Platform</w:t>
            </w:r>
          </w:p>
        </w:tc>
        <w:tc>
          <w:tcPr>
            <w:tcBorders>
              <w:top w:val="single" w:sz="1" w:space="0" w:color="000000"/>
              <w:left w:val="single" w:sz="1" w:space="0" w:color="000000"/>
              <w:bottom w:val="single" w:sz="1" w:space="0" w:color="000000"/>
            </w:tcBorders>
          </w:tcPr>
          <w:p>
            <w:pPr>
              <w:spacing w:lineRule="auto"/>
            </w:pPr>
            <w:r>
              <w:rPr/>
              <w:t xml:space="preserve">Primary Focus</w:t>
            </w:r>
          </w:p>
        </w:tc>
        <w:tc>
          <w:tcPr>
            <w:tcBorders>
              <w:top w:val="single" w:sz="1" w:space="0" w:color="000000"/>
              <w:left w:val="single" w:sz="1" w:space="0" w:color="000000"/>
              <w:bottom w:val="single" w:sz="1" w:space="0" w:color="000000"/>
            </w:tcBorders>
          </w:tcPr>
          <w:p>
            <w:pPr>
              <w:spacing w:lineRule="auto"/>
            </w:pPr>
            <w:r>
              <w:rPr/>
              <w:t xml:space="preserve">Key Strength</w:t>
            </w:r>
          </w:p>
        </w:tc>
        <w:tc>
          <w:tcPr>
            <w:tcBorders>
              <w:top w:val="single" w:sz="1" w:space="0" w:color="000000"/>
              <w:left w:val="single" w:sz="1" w:space="0" w:color="000000"/>
              <w:bottom w:val="single" w:sz="1" w:space="0" w:color="000000"/>
            </w:tcBorders>
          </w:tcPr>
          <w:p>
            <w:pPr>
              <w:spacing w:lineRule="auto"/>
            </w:pPr>
            <w:r>
              <w:rPr/>
              <w:t xml:space="preserve">Critical Gap</w:t>
            </w:r>
          </w:p>
        </w:tc>
      </w:tr>
      <w:tr>
        <w:trPr>
          <w:cantSplit/>
        </w:trPr>
        <w:tc>
          <w:tcPr>
            <w:tcBorders>
              <w:top w:val="single" w:sz="1" w:space="0" w:color="000000"/>
              <w:bottom w:val="single" w:sz="1" w:space="0" w:color="000000"/>
            </w:tcBorders>
          </w:tcPr>
          <w:p>
            <w:pPr>
              <w:spacing w:lineRule="auto"/>
            </w:pPr>
            <w:r>
              <w:rPr/>
              <w:t xml:space="preserve">CoachAccountable</w:t>
            </w:r>
          </w:p>
        </w:tc>
        <w:tc>
          <w:tcPr>
            <w:tcBorders>
              <w:top w:val="single" w:sz="1" w:space="0" w:color="000000"/>
              <w:left w:val="single" w:sz="1" w:space="0" w:color="000000"/>
              <w:bottom w:val="single" w:sz="1" w:space="0" w:color="000000"/>
            </w:tcBorders>
          </w:tcPr>
          <w:p>
            <w:pPr>
              <w:spacing w:lineRule="auto"/>
            </w:pPr>
            <w:r>
              <w:rPr/>
              <w:t xml:space="preserve">Coach practice management</w:t>
            </w:r>
          </w:p>
        </w:tc>
        <w:tc>
          <w:tcPr>
            <w:tcBorders>
              <w:top w:val="single" w:sz="1" w:space="0" w:color="000000"/>
              <w:left w:val="single" w:sz="1" w:space="0" w:color="000000"/>
              <w:bottom w:val="single" w:sz="1" w:space="0" w:color="000000"/>
            </w:tcBorders>
          </w:tcPr>
          <w:p>
            <w:pPr>
              <w:spacing w:lineRule="auto"/>
            </w:pPr>
            <w:r>
              <w:rPr/>
              <w:t xml:space="preserve">Session notes, accountability tracking</w:t>
            </w:r>
          </w:p>
        </w:tc>
        <w:tc>
          <w:tcPr>
            <w:tcBorders>
              <w:top w:val="single" w:sz="1" w:space="0" w:color="000000"/>
              <w:left w:val="single" w:sz="1" w:space="0" w:color="000000"/>
              <w:bottom w:val="single" w:sz="1" w:space="0" w:color="000000"/>
            </w:tcBorders>
          </w:tcPr>
          <w:p>
            <w:pPr>
              <w:spacing w:lineRule="auto"/>
            </w:pPr>
            <w:r>
              <w:rPr/>
              <w:t xml:space="preserve">No LMS, no assessment engine, no marketplace</w:t>
            </w:r>
          </w:p>
        </w:tc>
      </w:tr>
      <w:tr>
        <w:trPr>
          <w:cantSplit/>
        </w:trPr>
        <w:tc>
          <w:tcPr>
            <w:tcBorders>
              <w:top w:val="single" w:sz="1" w:space="0" w:color="000000"/>
              <w:bottom w:val="single" w:sz="1" w:space="0" w:color="000000"/>
            </w:tcBorders>
          </w:tcPr>
          <w:p>
            <w:pPr>
              <w:spacing w:lineRule="auto"/>
            </w:pPr>
            <w:r>
              <w:rPr/>
              <w:t xml:space="preserve">Paperbell</w:t>
            </w:r>
          </w:p>
        </w:tc>
        <w:tc>
          <w:tcPr>
            <w:tcBorders>
              <w:top w:val="single" w:sz="1" w:space="0" w:color="000000"/>
              <w:left w:val="single" w:sz="1" w:space="0" w:color="000000"/>
              <w:bottom w:val="single" w:sz="1" w:space="0" w:color="000000"/>
            </w:tcBorders>
          </w:tcPr>
          <w:p>
            <w:pPr>
              <w:spacing w:lineRule="auto"/>
            </w:pPr>
            <w:r>
              <w:rPr/>
              <w:t xml:space="preserve">Scheduling and payments</w:t>
            </w:r>
          </w:p>
        </w:tc>
        <w:tc>
          <w:tcPr>
            <w:tcBorders>
              <w:top w:val="single" w:sz="1" w:space="0" w:color="000000"/>
              <w:left w:val="single" w:sz="1" w:space="0" w:color="000000"/>
              <w:bottom w:val="single" w:sz="1" w:space="0" w:color="000000"/>
            </w:tcBorders>
          </w:tcPr>
          <w:p>
            <w:pPr>
              <w:spacing w:lineRule="auto"/>
            </w:pPr>
            <w:r>
              <w:rPr/>
              <w:t xml:space="preserve">Simple booking and client portal</w:t>
            </w:r>
          </w:p>
        </w:tc>
        <w:tc>
          <w:tcPr>
            <w:tcBorders>
              <w:top w:val="single" w:sz="1" w:space="0" w:color="000000"/>
              <w:left w:val="single" w:sz="1" w:space="0" w:color="000000"/>
              <w:bottom w:val="single" w:sz="1" w:space="0" w:color="000000"/>
            </w:tcBorders>
          </w:tcPr>
          <w:p>
            <w:pPr>
              <w:spacing w:lineRule="auto"/>
            </w:pPr>
            <w:r>
              <w:rPr/>
              <w:t xml:space="preserve">No cohort management, no AI reporting, no widget strategy</w:t>
            </w:r>
          </w:p>
        </w:tc>
      </w:tr>
      <w:tr>
        <w:trPr>
          <w:cantSplit/>
        </w:trPr>
        <w:tc>
          <w:tcPr>
            <w:tcBorders>
              <w:top w:val="single" w:sz="1" w:space="0" w:color="000000"/>
              <w:bottom w:val="single" w:sz="1" w:space="0" w:color="000000"/>
            </w:tcBorders>
          </w:tcPr>
          <w:p>
            <w:pPr>
              <w:spacing w:lineRule="auto"/>
            </w:pPr>
            <w:r>
              <w:rPr/>
              <w:t xml:space="preserve">Satori</w:t>
            </w:r>
          </w:p>
        </w:tc>
        <w:tc>
          <w:tcPr>
            <w:tcBorders>
              <w:top w:val="single" w:sz="1" w:space="0" w:color="000000"/>
              <w:left w:val="single" w:sz="1" w:space="0" w:color="000000"/>
              <w:bottom w:val="single" w:sz="1" w:space="0" w:color="000000"/>
            </w:tcBorders>
          </w:tcPr>
          <w:p>
            <w:pPr>
              <w:spacing w:lineRule="auto"/>
            </w:pPr>
            <w:r>
              <w:rPr/>
              <w:t xml:space="preserve">Holistic coaching workflows</w:t>
            </w:r>
          </w:p>
        </w:tc>
        <w:tc>
          <w:tcPr>
            <w:tcBorders>
              <w:top w:val="single" w:sz="1" w:space="0" w:color="000000"/>
              <w:left w:val="single" w:sz="1" w:space="0" w:color="000000"/>
              <w:bottom w:val="single" w:sz="1" w:space="0" w:color="000000"/>
            </w:tcBorders>
          </w:tcPr>
          <w:p>
            <w:pPr>
              <w:spacing w:lineRule="auto"/>
            </w:pPr>
            <w:r>
              <w:rPr/>
              <w:t xml:space="preserve">Proposals and goal tracking</w:t>
            </w:r>
          </w:p>
        </w:tc>
        <w:tc>
          <w:tcPr>
            <w:tcBorders>
              <w:top w:val="single" w:sz="1" w:space="0" w:color="000000"/>
              <w:left w:val="single" w:sz="1" w:space="0" w:color="000000"/>
              <w:bottom w:val="single" w:sz="1" w:space="0" w:color="000000"/>
            </w:tcBorders>
          </w:tcPr>
          <w:p>
            <w:pPr>
              <w:spacing w:lineRule="auto"/>
            </w:pPr>
            <w:r>
              <w:rPr/>
              <w:t xml:space="preserve">No video/LMS, no enterprise tier, limited analytics</w:t>
            </w:r>
          </w:p>
        </w:tc>
      </w:tr>
      <w:tr>
        <w:trPr>
          <w:cantSplit/>
        </w:trPr>
        <w:tc>
          <w:tcPr>
            <w:tcBorders>
              <w:top w:val="single" w:sz="1" w:space="0" w:color="000000"/>
              <w:bottom w:val="single" w:sz="1" w:space="0" w:color="000000"/>
            </w:tcBorders>
          </w:tcPr>
          <w:p>
            <w:pPr>
              <w:spacing w:lineRule="auto"/>
            </w:pPr>
            <w:r>
              <w:rPr/>
              <w:t xml:space="preserve">Coaching Loft</w:t>
            </w:r>
          </w:p>
        </w:tc>
        <w:tc>
          <w:tcPr>
            <w:tcBorders>
              <w:top w:val="single" w:sz="1" w:space="0" w:color="000000"/>
              <w:left w:val="single" w:sz="1" w:space="0" w:color="000000"/>
              <w:bottom w:val="single" w:sz="1" w:space="0" w:color="000000"/>
            </w:tcBorders>
          </w:tcPr>
          <w:p>
            <w:pPr>
              <w:spacing w:lineRule="auto"/>
            </w:pPr>
            <w:r>
              <w:rPr/>
              <w:t xml:space="preserve">Session management</w:t>
            </w:r>
          </w:p>
        </w:tc>
        <w:tc>
          <w:tcPr>
            <w:tcBorders>
              <w:top w:val="single" w:sz="1" w:space="0" w:color="000000"/>
              <w:left w:val="single" w:sz="1" w:space="0" w:color="000000"/>
              <w:bottom w:val="single" w:sz="1" w:space="0" w:color="000000"/>
            </w:tcBorders>
          </w:tcPr>
          <w:p>
            <w:pPr>
              <w:spacing w:lineRule="auto"/>
            </w:pPr>
            <w:r>
              <w:rPr/>
              <w:t xml:space="preserve">Billing and scheduling</w:t>
            </w:r>
          </w:p>
        </w:tc>
        <w:tc>
          <w:tcPr>
            <w:tcBorders>
              <w:top w:val="single" w:sz="1" w:space="0" w:color="000000"/>
              <w:left w:val="single" w:sz="1" w:space="0" w:color="000000"/>
              <w:bottom w:val="single" w:sz="1" w:space="0" w:color="000000"/>
            </w:tcBorders>
          </w:tcPr>
          <w:p>
            <w:pPr>
              <w:spacing w:lineRule="auto"/>
            </w:pPr>
            <w:r>
              <w:rPr/>
              <w:t xml:space="preserve">No content library, no embeddable tools</w:t>
            </w:r>
          </w:p>
        </w:tc>
      </w:tr>
      <w:tr>
        <w:trPr>
          <w:cantSplit/>
        </w:trPr>
        <w:tc>
          <w:tcPr>
            <w:tcBorders>
              <w:top w:val="single" w:sz="1" w:space="0" w:color="000000"/>
              <w:bottom w:val="single" w:sz="1" w:space="0" w:color="000000"/>
            </w:tcBorders>
          </w:tcPr>
          <w:p>
            <w:pPr>
              <w:spacing w:lineRule="auto"/>
            </w:pPr>
            <w:r>
              <w:rPr/>
              <w:t xml:space="preserve">Upcoach</w:t>
            </w:r>
          </w:p>
        </w:tc>
        <w:tc>
          <w:tcPr>
            <w:tcBorders>
              <w:top w:val="single" w:sz="1" w:space="0" w:color="000000"/>
              <w:left w:val="single" w:sz="1" w:space="0" w:color="000000"/>
              <w:bottom w:val="single" w:sz="1" w:space="0" w:color="000000"/>
            </w:tcBorders>
          </w:tcPr>
          <w:p>
            <w:pPr>
              <w:spacing w:lineRule="auto"/>
            </w:pPr>
            <w:r>
              <w:rPr/>
              <w:t xml:space="preserve">Program delivery</w:t>
            </w:r>
          </w:p>
        </w:tc>
        <w:tc>
          <w:tcPr>
            <w:tcBorders>
              <w:top w:val="single" w:sz="1" w:space="0" w:color="000000"/>
              <w:left w:val="single" w:sz="1" w:space="0" w:color="000000"/>
              <w:bottom w:val="single" w:sz="1" w:space="0" w:color="000000"/>
            </w:tcBorders>
          </w:tcPr>
          <w:p>
            <w:pPr>
              <w:spacing w:lineRule="auto"/>
            </w:pPr>
            <w:r>
              <w:rPr/>
              <w:t xml:space="preserve">Templates and progress tracking</w:t>
            </w:r>
          </w:p>
        </w:tc>
        <w:tc>
          <w:tcPr>
            <w:tcBorders>
              <w:top w:val="single" w:sz="1" w:space="0" w:color="000000"/>
              <w:left w:val="single" w:sz="1" w:space="0" w:color="000000"/>
              <w:bottom w:val="single" w:sz="1" w:space="0" w:color="000000"/>
            </w:tcBorders>
          </w:tcPr>
          <w:p>
            <w:pPr>
              <w:spacing w:lineRule="auto"/>
            </w:pPr>
            <w:r>
              <w:rPr/>
              <w:t xml:space="preserve">No proprietary assessments, limited marketplace</w:t>
            </w:r>
          </w:p>
        </w:tc>
      </w:tr>
      <w:tr>
        <w:trPr>
          <w:cantSplit/>
        </w:trPr>
        <w:tc>
          <w:tcPr>
            <w:tcBorders>
              <w:top w:val="single" w:sz="1" w:space="0" w:color="000000"/>
              <w:bottom w:val="single" w:sz="1" w:space="0" w:color="000000"/>
            </w:tcBorders>
          </w:tcPr>
          <w:p>
            <w:pPr>
              <w:spacing w:lineRule="auto"/>
            </w:pPr>
            <w:r>
              <w:rPr/>
              <w:t xml:space="preserve">BetterUp</w:t>
            </w:r>
          </w:p>
        </w:tc>
        <w:tc>
          <w:tcPr>
            <w:tcBorders>
              <w:top w:val="single" w:sz="1" w:space="0" w:color="000000"/>
              <w:left w:val="single" w:sz="1" w:space="0" w:color="000000"/>
              <w:bottom w:val="single" w:sz="1" w:space="0" w:color="000000"/>
            </w:tcBorders>
          </w:tcPr>
          <w:p>
            <w:pPr>
              <w:spacing w:lineRule="auto"/>
            </w:pPr>
            <w:r>
              <w:rPr/>
              <w:t xml:space="preserve">Enterprise coaching at scale</w:t>
            </w:r>
          </w:p>
        </w:tc>
        <w:tc>
          <w:tcPr>
            <w:tcBorders>
              <w:top w:val="single" w:sz="1" w:space="0" w:color="000000"/>
              <w:left w:val="single" w:sz="1" w:space="0" w:color="000000"/>
              <w:bottom w:val="single" w:sz="1" w:space="0" w:color="000000"/>
            </w:tcBorders>
          </w:tcPr>
          <w:p>
            <w:pPr>
              <w:spacing w:lineRule="auto"/>
            </w:pPr>
            <w:r>
              <w:rPr/>
              <w:t xml:space="preserve">Scale and corporate integration</w:t>
            </w:r>
          </w:p>
        </w:tc>
        <w:tc>
          <w:tcPr>
            <w:tcBorders>
              <w:top w:val="single" w:sz="1" w:space="0" w:color="000000"/>
              <w:left w:val="single" w:sz="1" w:space="0" w:color="000000"/>
              <w:bottom w:val="single" w:sz="1" w:space="0" w:color="000000"/>
            </w:tcBorders>
          </w:tcPr>
          <w:p>
            <w:pPr>
              <w:spacing w:lineRule="auto"/>
            </w:pPr>
            <w:r>
              <w:rPr/>
              <w:t xml:space="preserve">Coach-to-company only, not coach-to-client; extremely high price point</w:t>
            </w:r>
          </w:p>
        </w:tc>
      </w:tr>
      <w:tr>
        <w:trPr>
          <w:cantSplit/>
        </w:trPr>
        <w:tc>
          <w:tcPr>
            <w:tcBorders>
              <w:top w:val="single" w:sz="1" w:space="0" w:color="000000"/>
              <w:bottom w:val="single" w:sz="1" w:space="0" w:color="000000"/>
            </w:tcBorders>
          </w:tcPr>
          <w:p>
            <w:pPr>
              <w:spacing w:lineRule="auto"/>
            </w:pPr>
            <w:r>
              <w:rPr/>
              <w:t xml:space="preserve">CoachHub</w:t>
            </w:r>
          </w:p>
        </w:tc>
        <w:tc>
          <w:tcPr>
            <w:tcBorders>
              <w:top w:val="single" w:sz="1" w:space="0" w:color="000000"/>
              <w:left w:val="single" w:sz="1" w:space="0" w:color="000000"/>
              <w:bottom w:val="single" w:sz="1" w:space="0" w:color="000000"/>
            </w:tcBorders>
          </w:tcPr>
          <w:p>
            <w:pPr>
              <w:spacing w:lineRule="auto"/>
            </w:pPr>
            <w:r>
              <w:rPr/>
              <w:t xml:space="preserve">Corporate coaching</w:t>
            </w:r>
          </w:p>
        </w:tc>
        <w:tc>
          <w:tcPr>
            <w:tcBorders>
              <w:top w:val="single" w:sz="1" w:space="0" w:color="000000"/>
              <w:left w:val="single" w:sz="1" w:space="0" w:color="000000"/>
              <w:bottom w:val="single" w:sz="1" w:space="0" w:color="000000"/>
            </w:tcBorders>
          </w:tcPr>
          <w:p>
            <w:pPr>
              <w:spacing w:lineRule="auto"/>
            </w:pPr>
            <w:r>
              <w:rPr/>
              <w:t xml:space="preserve">Enterprise workflows</w:t>
            </w:r>
          </w:p>
        </w:tc>
        <w:tc>
          <w:tcPr>
            <w:tcBorders>
              <w:top w:val="single" w:sz="1" w:space="0" w:color="000000"/>
              <w:left w:val="single" w:sz="1" w:space="0" w:color="000000"/>
              <w:bottom w:val="single" w:sz="1" w:space="0" w:color="000000"/>
            </w:tcBorders>
          </w:tcPr>
          <w:p>
            <w:pPr>
              <w:spacing w:lineRule="auto"/>
            </w:pPr>
            <w:r>
              <w:rPr/>
              <w:t xml:space="preserve">Enterprise-only; no independent coach tier</w:t>
            </w:r>
          </w:p>
        </w:tc>
      </w:tr>
    </w:tbl>
    <w:p>
      <w:pPr>
        <w:spacing w:lineRule="auto"/>
      </w:pPr>
    </w:p>
    <w:p>
      <w:pPr>
        <w:spacing w:after="210" w:lineRule="auto"/>
      </w:pPr>
      <w:r>
        <w:rPr>
          <w:b/>
        </w:rPr>
        <w:t xml:space="preserve">Training Studio Competitors: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Platform</w:t>
            </w:r>
          </w:p>
        </w:tc>
        <w:tc>
          <w:tcPr>
            <w:tcBorders>
              <w:top w:val="single" w:sz="1" w:space="0" w:color="000000"/>
              <w:left w:val="single" w:sz="1" w:space="0" w:color="000000"/>
              <w:bottom w:val="single" w:sz="1" w:space="0" w:color="000000"/>
            </w:tcBorders>
          </w:tcPr>
          <w:p>
            <w:pPr>
              <w:spacing w:lineRule="auto"/>
            </w:pPr>
            <w:r>
              <w:rPr/>
              <w:t xml:space="preserve">Primary Focus</w:t>
            </w:r>
          </w:p>
        </w:tc>
        <w:tc>
          <w:tcPr>
            <w:tcBorders>
              <w:top w:val="single" w:sz="1" w:space="0" w:color="000000"/>
              <w:left w:val="single" w:sz="1" w:space="0" w:color="000000"/>
              <w:bottom w:val="single" w:sz="1" w:space="0" w:color="000000"/>
            </w:tcBorders>
          </w:tcPr>
          <w:p>
            <w:pPr>
              <w:spacing w:lineRule="auto"/>
            </w:pPr>
            <w:r>
              <w:rPr/>
              <w:t xml:space="preserve">Key Strength</w:t>
            </w:r>
          </w:p>
        </w:tc>
        <w:tc>
          <w:tcPr>
            <w:tcBorders>
              <w:top w:val="single" w:sz="1" w:space="0" w:color="000000"/>
              <w:left w:val="single" w:sz="1" w:space="0" w:color="000000"/>
              <w:bottom w:val="single" w:sz="1" w:space="0" w:color="000000"/>
            </w:tcBorders>
          </w:tcPr>
          <w:p>
            <w:pPr>
              <w:spacing w:lineRule="auto"/>
            </w:pPr>
            <w:r>
              <w:rPr/>
              <w:t xml:space="preserve">Critical Gap</w:t>
            </w:r>
          </w:p>
        </w:tc>
      </w:tr>
      <w:tr>
        <w:trPr>
          <w:cantSplit/>
        </w:trPr>
        <w:tc>
          <w:tcPr>
            <w:tcBorders>
              <w:top w:val="single" w:sz="1" w:space="0" w:color="000000"/>
              <w:bottom w:val="single" w:sz="1" w:space="0" w:color="000000"/>
            </w:tcBorders>
          </w:tcPr>
          <w:p>
            <w:pPr>
              <w:spacing w:lineRule="auto"/>
            </w:pPr>
            <w:r>
              <w:rPr/>
              <w:t xml:space="preserve">Docebo</w:t>
            </w:r>
          </w:p>
        </w:tc>
        <w:tc>
          <w:tcPr>
            <w:tcBorders>
              <w:top w:val="single" w:sz="1" w:space="0" w:color="000000"/>
              <w:left w:val="single" w:sz="1" w:space="0" w:color="000000"/>
              <w:bottom w:val="single" w:sz="1" w:space="0" w:color="000000"/>
            </w:tcBorders>
          </w:tcPr>
          <w:p>
            <w:pPr>
              <w:spacing w:lineRule="auto"/>
            </w:pPr>
            <w:r>
              <w:rPr/>
              <w:t xml:space="preserve">Enterprise LMS</w:t>
            </w:r>
          </w:p>
        </w:tc>
        <w:tc>
          <w:tcPr>
            <w:tcBorders>
              <w:top w:val="single" w:sz="1" w:space="0" w:color="000000"/>
              <w:left w:val="single" w:sz="1" w:space="0" w:color="000000"/>
              <w:bottom w:val="single" w:sz="1" w:space="0" w:color="000000"/>
            </w:tcBorders>
          </w:tcPr>
          <w:p>
            <w:pPr>
              <w:spacing w:lineRule="auto"/>
            </w:pPr>
            <w:r>
              <w:rPr/>
              <w:t xml:space="preserve">Scale and integrations</w:t>
            </w:r>
          </w:p>
        </w:tc>
        <w:tc>
          <w:tcPr>
            <w:tcBorders>
              <w:top w:val="single" w:sz="1" w:space="0" w:color="000000"/>
              <w:left w:val="single" w:sz="1" w:space="0" w:color="000000"/>
              <w:bottom w:val="single" w:sz="1" w:space="0" w:color="000000"/>
            </w:tcBorders>
          </w:tcPr>
          <w:p>
            <w:pPr>
              <w:spacing w:lineRule="auto"/>
            </w:pPr>
            <w:r>
              <w:rPr/>
              <w:t xml:space="preserve">No built-in assessment engine, no widget strategy</w:t>
            </w:r>
          </w:p>
        </w:tc>
      </w:tr>
      <w:tr>
        <w:trPr>
          <w:cantSplit/>
        </w:trPr>
        <w:tc>
          <w:tcPr>
            <w:tcBorders>
              <w:top w:val="single" w:sz="1" w:space="0" w:color="000000"/>
              <w:bottom w:val="single" w:sz="1" w:space="0" w:color="000000"/>
            </w:tcBorders>
          </w:tcPr>
          <w:p>
            <w:pPr>
              <w:spacing w:lineRule="auto"/>
            </w:pPr>
            <w:r>
              <w:rPr/>
              <w:t xml:space="preserve">TalentLMS</w:t>
            </w:r>
          </w:p>
        </w:tc>
        <w:tc>
          <w:tcPr>
            <w:tcBorders>
              <w:top w:val="single" w:sz="1" w:space="0" w:color="000000"/>
              <w:left w:val="single" w:sz="1" w:space="0" w:color="000000"/>
              <w:bottom w:val="single" w:sz="1" w:space="0" w:color="000000"/>
            </w:tcBorders>
          </w:tcPr>
          <w:p>
            <w:pPr>
              <w:spacing w:lineRule="auto"/>
            </w:pPr>
            <w:r>
              <w:rPr/>
              <w:t xml:space="preserve">SMB training delivery</w:t>
            </w:r>
          </w:p>
        </w:tc>
        <w:tc>
          <w:tcPr>
            <w:tcBorders>
              <w:top w:val="single" w:sz="1" w:space="0" w:color="000000"/>
              <w:left w:val="single" w:sz="1" w:space="0" w:color="000000"/>
              <w:bottom w:val="single" w:sz="1" w:space="0" w:color="000000"/>
            </w:tcBorders>
          </w:tcPr>
          <w:p>
            <w:pPr>
              <w:spacing w:lineRule="auto"/>
            </w:pPr>
            <w:r>
              <w:rPr/>
              <w:t xml:space="preserve">Easy setup, broad feature set</w:t>
            </w:r>
          </w:p>
        </w:tc>
        <w:tc>
          <w:tcPr>
            <w:tcBorders>
              <w:top w:val="single" w:sz="1" w:space="0" w:color="000000"/>
              <w:left w:val="single" w:sz="1" w:space="0" w:color="000000"/>
              <w:bottom w:val="single" w:sz="1" w:space="0" w:color="000000"/>
            </w:tcBorders>
          </w:tcPr>
          <w:p>
            <w:pPr>
              <w:spacing w:lineRule="auto"/>
            </w:pPr>
            <w:r>
              <w:rPr/>
              <w:t xml:space="preserve">No AI reporting, no cohort-level professional tools</w:t>
            </w:r>
          </w:p>
        </w:tc>
      </w:tr>
      <w:tr>
        <w:trPr>
          <w:cantSplit/>
        </w:trPr>
        <w:tc>
          <w:tcPr>
            <w:tcBorders>
              <w:top w:val="single" w:sz="1" w:space="0" w:color="000000"/>
              <w:bottom w:val="single" w:sz="1" w:space="0" w:color="000000"/>
            </w:tcBorders>
          </w:tcPr>
          <w:p>
            <w:pPr>
              <w:spacing w:lineRule="auto"/>
            </w:pPr>
            <w:r>
              <w:rPr/>
              <w:t xml:space="preserve">Teachable / Thinkific</w:t>
            </w:r>
          </w:p>
        </w:tc>
        <w:tc>
          <w:tcPr>
            <w:tcBorders>
              <w:top w:val="single" w:sz="1" w:space="0" w:color="000000"/>
              <w:left w:val="single" w:sz="1" w:space="0" w:color="000000"/>
              <w:bottom w:val="single" w:sz="1" w:space="0" w:color="000000"/>
            </w:tcBorders>
          </w:tcPr>
          <w:p>
            <w:pPr>
              <w:spacing w:lineRule="auto"/>
            </w:pPr>
            <w:r>
              <w:rPr/>
              <w:t xml:space="preserve">Course creation/marketplace</w:t>
            </w:r>
          </w:p>
        </w:tc>
        <w:tc>
          <w:tcPr>
            <w:tcBorders>
              <w:top w:val="single" w:sz="1" w:space="0" w:color="000000"/>
              <w:left w:val="single" w:sz="1" w:space="0" w:color="000000"/>
              <w:bottom w:val="single" w:sz="1" w:space="0" w:color="000000"/>
            </w:tcBorders>
          </w:tcPr>
          <w:p>
            <w:pPr>
              <w:spacing w:lineRule="auto"/>
            </w:pPr>
            <w:r>
              <w:rPr/>
              <w:t xml:space="preserve">Creator-friendly, marketplace</w:t>
            </w:r>
          </w:p>
        </w:tc>
        <w:tc>
          <w:tcPr>
            <w:tcBorders>
              <w:top w:val="single" w:sz="1" w:space="0" w:color="000000"/>
              <w:left w:val="single" w:sz="1" w:space="0" w:color="000000"/>
              <w:bottom w:val="single" w:sz="1" w:space="0" w:color="000000"/>
            </w:tcBorders>
          </w:tcPr>
          <w:p>
            <w:pPr>
              <w:spacing w:lineRule="auto"/>
            </w:pPr>
            <w:r>
              <w:rPr/>
              <w:t xml:space="preserve">No cohort management, no professional services model</w:t>
            </w:r>
          </w:p>
        </w:tc>
      </w:tr>
      <w:tr>
        <w:trPr>
          <w:cantSplit/>
        </w:trPr>
        <w:tc>
          <w:tcPr>
            <w:tcBorders>
              <w:top w:val="single" w:sz="1" w:space="0" w:color="000000"/>
              <w:bottom w:val="single" w:sz="1" w:space="0" w:color="000000"/>
            </w:tcBorders>
          </w:tcPr>
          <w:p>
            <w:pPr>
              <w:spacing w:lineRule="auto"/>
            </w:pPr>
            <w:r>
              <w:rPr/>
              <w:t xml:space="preserve">360Learning</w:t>
            </w:r>
          </w:p>
        </w:tc>
        <w:tc>
          <w:tcPr>
            <w:tcBorders>
              <w:top w:val="single" w:sz="1" w:space="0" w:color="000000"/>
              <w:left w:val="single" w:sz="1" w:space="0" w:color="000000"/>
              <w:bottom w:val="single" w:sz="1" w:space="0" w:color="000000"/>
            </w:tcBorders>
          </w:tcPr>
          <w:p>
            <w:pPr>
              <w:spacing w:lineRule="auto"/>
            </w:pPr>
            <w:r>
              <w:rPr/>
              <w:t xml:space="preserve">Collaborative learning</w:t>
            </w:r>
          </w:p>
        </w:tc>
        <w:tc>
          <w:tcPr>
            <w:tcBorders>
              <w:top w:val="single" w:sz="1" w:space="0" w:color="000000"/>
              <w:left w:val="single" w:sz="1" w:space="0" w:color="000000"/>
              <w:bottom w:val="single" w:sz="1" w:space="0" w:color="000000"/>
            </w:tcBorders>
          </w:tcPr>
          <w:p>
            <w:pPr>
              <w:spacing w:lineRule="auto"/>
            </w:pPr>
            <w:r>
              <w:rPr/>
              <w:t xml:space="preserve">Peer-generated content</w:t>
            </w:r>
          </w:p>
        </w:tc>
        <w:tc>
          <w:tcPr>
            <w:tcBorders>
              <w:top w:val="single" w:sz="1" w:space="0" w:color="000000"/>
              <w:left w:val="single" w:sz="1" w:space="0" w:color="000000"/>
              <w:bottom w:val="single" w:sz="1" w:space="0" w:color="000000"/>
            </w:tcBorders>
          </w:tcPr>
          <w:p>
            <w:pPr>
              <w:spacing w:lineRule="auto"/>
            </w:pPr>
            <w:r>
              <w:rPr/>
              <w:t xml:space="preserve">No independent trainer model, no embeddable tools</w:t>
            </w:r>
          </w:p>
        </w:tc>
      </w:tr>
    </w:tbl>
    <w:p>
      <w:pPr>
        <w:spacing w:lineRule="auto"/>
      </w:pPr>
    </w:p>
    <w:p>
      <w:pPr>
        <w:spacing w:after="210" w:lineRule="auto"/>
      </w:pPr>
      <w:r>
        <w:rPr>
          <w:b/>
        </w:rPr>
        <w:t xml:space="preserve">Recruitment Studio Competitors: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Platform</w:t>
            </w:r>
          </w:p>
        </w:tc>
        <w:tc>
          <w:tcPr>
            <w:tcBorders>
              <w:top w:val="single" w:sz="1" w:space="0" w:color="000000"/>
              <w:left w:val="single" w:sz="1" w:space="0" w:color="000000"/>
              <w:bottom w:val="single" w:sz="1" w:space="0" w:color="000000"/>
            </w:tcBorders>
          </w:tcPr>
          <w:p>
            <w:pPr>
              <w:spacing w:lineRule="auto"/>
            </w:pPr>
            <w:r>
              <w:rPr/>
              <w:t xml:space="preserve">Primary Focus</w:t>
            </w:r>
          </w:p>
        </w:tc>
        <w:tc>
          <w:tcPr>
            <w:tcBorders>
              <w:top w:val="single" w:sz="1" w:space="0" w:color="000000"/>
              <w:left w:val="single" w:sz="1" w:space="0" w:color="000000"/>
              <w:bottom w:val="single" w:sz="1" w:space="0" w:color="000000"/>
            </w:tcBorders>
          </w:tcPr>
          <w:p>
            <w:pPr>
              <w:spacing w:lineRule="auto"/>
            </w:pPr>
            <w:r>
              <w:rPr/>
              <w:t xml:space="preserve">Key Strength</w:t>
            </w:r>
          </w:p>
        </w:tc>
        <w:tc>
          <w:tcPr>
            <w:tcBorders>
              <w:top w:val="single" w:sz="1" w:space="0" w:color="000000"/>
              <w:left w:val="single" w:sz="1" w:space="0" w:color="000000"/>
              <w:bottom w:val="single" w:sz="1" w:space="0" w:color="000000"/>
            </w:tcBorders>
          </w:tcPr>
          <w:p>
            <w:pPr>
              <w:spacing w:lineRule="auto"/>
            </w:pPr>
            <w:r>
              <w:rPr/>
              <w:t xml:space="preserve">Critical Gap</w:t>
            </w:r>
          </w:p>
        </w:tc>
      </w:tr>
      <w:tr>
        <w:trPr>
          <w:cantSplit/>
        </w:trPr>
        <w:tc>
          <w:tcPr>
            <w:tcBorders>
              <w:top w:val="single" w:sz="1" w:space="0" w:color="000000"/>
              <w:bottom w:val="single" w:sz="1" w:space="0" w:color="000000"/>
            </w:tcBorders>
          </w:tcPr>
          <w:p>
            <w:pPr>
              <w:spacing w:lineRule="auto"/>
            </w:pPr>
            <w:r>
              <w:rPr/>
              <w:t xml:space="preserve">Greenhouse</w:t>
            </w:r>
          </w:p>
        </w:tc>
        <w:tc>
          <w:tcPr>
            <w:tcBorders>
              <w:top w:val="single" w:sz="1" w:space="0" w:color="000000"/>
              <w:left w:val="single" w:sz="1" w:space="0" w:color="000000"/>
              <w:bottom w:val="single" w:sz="1" w:space="0" w:color="000000"/>
            </w:tcBorders>
          </w:tcPr>
          <w:p>
            <w:pPr>
              <w:spacing w:lineRule="auto"/>
            </w:pPr>
            <w:r>
              <w:rPr/>
              <w:t xml:space="preserve">ATS for enterprises</w:t>
            </w:r>
          </w:p>
        </w:tc>
        <w:tc>
          <w:tcPr>
            <w:tcBorders>
              <w:top w:val="single" w:sz="1" w:space="0" w:color="000000"/>
              <w:left w:val="single" w:sz="1" w:space="0" w:color="000000"/>
              <w:bottom w:val="single" w:sz="1" w:space="0" w:color="000000"/>
            </w:tcBorders>
          </w:tcPr>
          <w:p>
            <w:pPr>
              <w:spacing w:lineRule="auto"/>
            </w:pPr>
            <w:r>
              <w:rPr/>
              <w:t xml:space="preserve">Structured hiring workflows</w:t>
            </w:r>
          </w:p>
        </w:tc>
        <w:tc>
          <w:tcPr>
            <w:tcBorders>
              <w:top w:val="single" w:sz="1" w:space="0" w:color="000000"/>
              <w:left w:val="single" w:sz="1" w:space="0" w:color="000000"/>
              <w:bottom w:val="single" w:sz="1" w:space="0" w:color="000000"/>
            </w:tcBorders>
          </w:tcPr>
          <w:p>
            <w:pPr>
              <w:spacing w:lineRule="auto"/>
            </w:pPr>
            <w:r>
              <w:rPr/>
              <w:t xml:space="preserve">No assessment creation, no training delivery</w:t>
            </w:r>
          </w:p>
        </w:tc>
      </w:tr>
      <w:tr>
        <w:trPr>
          <w:cantSplit/>
        </w:trPr>
        <w:tc>
          <w:tcPr>
            <w:tcBorders>
              <w:top w:val="single" w:sz="1" w:space="0" w:color="000000"/>
              <w:bottom w:val="single" w:sz="1" w:space="0" w:color="000000"/>
            </w:tcBorders>
          </w:tcPr>
          <w:p>
            <w:pPr>
              <w:spacing w:lineRule="auto"/>
            </w:pPr>
            <w:r>
              <w:rPr/>
              <w:t xml:space="preserve">Lever</w:t>
            </w:r>
          </w:p>
        </w:tc>
        <w:tc>
          <w:tcPr>
            <w:tcBorders>
              <w:top w:val="single" w:sz="1" w:space="0" w:color="000000"/>
              <w:left w:val="single" w:sz="1" w:space="0" w:color="000000"/>
              <w:bottom w:val="single" w:sz="1" w:space="0" w:color="000000"/>
            </w:tcBorders>
          </w:tcPr>
          <w:p>
            <w:pPr>
              <w:spacing w:lineRule="auto"/>
            </w:pPr>
            <w:r>
              <w:rPr/>
              <w:t xml:space="preserve">ATS + CRM</w:t>
            </w:r>
          </w:p>
        </w:tc>
        <w:tc>
          <w:tcPr>
            <w:tcBorders>
              <w:top w:val="single" w:sz="1" w:space="0" w:color="000000"/>
              <w:left w:val="single" w:sz="1" w:space="0" w:color="000000"/>
              <w:bottom w:val="single" w:sz="1" w:space="0" w:color="000000"/>
            </w:tcBorders>
          </w:tcPr>
          <w:p>
            <w:pPr>
              <w:spacing w:lineRule="auto"/>
            </w:pPr>
            <w:r>
              <w:rPr/>
              <w:t xml:space="preserve">Candidate relationship management</w:t>
            </w:r>
          </w:p>
        </w:tc>
        <w:tc>
          <w:tcPr>
            <w:tcBorders>
              <w:top w:val="single" w:sz="1" w:space="0" w:color="000000"/>
              <w:left w:val="single" w:sz="1" w:space="0" w:color="000000"/>
              <w:bottom w:val="single" w:sz="1" w:space="0" w:color="000000"/>
            </w:tcBorders>
          </w:tcPr>
          <w:p>
            <w:pPr>
              <w:spacing w:lineRule="auto"/>
            </w:pPr>
            <w:r>
              <w:rPr/>
              <w:t xml:space="preserve">No program delivery, no AI-generated reports</w:t>
            </w:r>
          </w:p>
        </w:tc>
      </w:tr>
      <w:tr>
        <w:trPr>
          <w:cantSplit/>
        </w:trPr>
        <w:tc>
          <w:tcPr>
            <w:tcBorders>
              <w:top w:val="single" w:sz="1" w:space="0" w:color="000000"/>
              <w:bottom w:val="single" w:sz="1" w:space="0" w:color="000000"/>
            </w:tcBorders>
          </w:tcPr>
          <w:p>
            <w:pPr>
              <w:spacing w:lineRule="auto"/>
            </w:pPr>
            <w:r>
              <w:rPr/>
              <w:t xml:space="preserve">Workable</w:t>
            </w:r>
          </w:p>
        </w:tc>
        <w:tc>
          <w:tcPr>
            <w:tcBorders>
              <w:top w:val="single" w:sz="1" w:space="0" w:color="000000"/>
              <w:left w:val="single" w:sz="1" w:space="0" w:color="000000"/>
              <w:bottom w:val="single" w:sz="1" w:space="0" w:color="000000"/>
            </w:tcBorders>
          </w:tcPr>
          <w:p>
            <w:pPr>
              <w:spacing w:lineRule="auto"/>
            </w:pPr>
            <w:r>
              <w:rPr/>
              <w:t xml:space="preserve">SMB ATS</w:t>
            </w:r>
          </w:p>
        </w:tc>
        <w:tc>
          <w:tcPr>
            <w:tcBorders>
              <w:top w:val="single" w:sz="1" w:space="0" w:color="000000"/>
              <w:left w:val="single" w:sz="1" w:space="0" w:color="000000"/>
              <w:bottom w:val="single" w:sz="1" w:space="0" w:color="000000"/>
            </w:tcBorders>
          </w:tcPr>
          <w:p>
            <w:pPr>
              <w:spacing w:lineRule="auto"/>
            </w:pPr>
            <w:r>
              <w:rPr/>
              <w:t xml:space="preserve">Ease of use</w:t>
            </w:r>
          </w:p>
        </w:tc>
        <w:tc>
          <w:tcPr>
            <w:tcBorders>
              <w:top w:val="single" w:sz="1" w:space="0" w:color="000000"/>
              <w:left w:val="single" w:sz="1" w:space="0" w:color="000000"/>
              <w:bottom w:val="single" w:sz="1" w:space="0" w:color="000000"/>
            </w:tcBorders>
          </w:tcPr>
          <w:p>
            <w:pPr>
              <w:spacing w:lineRule="auto"/>
            </w:pPr>
            <w:r>
              <w:rPr/>
              <w:t xml:space="preserve">Limited assessment capability, no cohort tools</w:t>
            </w:r>
          </w:p>
        </w:tc>
      </w:tr>
      <w:tr>
        <w:trPr>
          <w:cantSplit/>
        </w:trPr>
        <w:tc>
          <w:tcPr>
            <w:tcBorders>
              <w:top w:val="single" w:sz="1" w:space="0" w:color="000000"/>
              <w:bottom w:val="single" w:sz="1" w:space="0" w:color="000000"/>
            </w:tcBorders>
          </w:tcPr>
          <w:p>
            <w:pPr>
              <w:spacing w:lineRule="auto"/>
            </w:pPr>
            <w:r>
              <w:rPr/>
              <w:t xml:space="preserve">HireVue</w:t>
            </w:r>
          </w:p>
        </w:tc>
        <w:tc>
          <w:tcPr>
            <w:tcBorders>
              <w:top w:val="single" w:sz="1" w:space="0" w:color="000000"/>
              <w:left w:val="single" w:sz="1" w:space="0" w:color="000000"/>
              <w:bottom w:val="single" w:sz="1" w:space="0" w:color="000000"/>
            </w:tcBorders>
          </w:tcPr>
          <w:p>
            <w:pPr>
              <w:spacing w:lineRule="auto"/>
            </w:pPr>
            <w:r>
              <w:rPr/>
              <w:t xml:space="preserve">Video interviewing + assessments</w:t>
            </w:r>
          </w:p>
        </w:tc>
        <w:tc>
          <w:tcPr>
            <w:tcBorders>
              <w:top w:val="single" w:sz="1" w:space="0" w:color="000000"/>
              <w:left w:val="single" w:sz="1" w:space="0" w:color="000000"/>
              <w:bottom w:val="single" w:sz="1" w:space="0" w:color="000000"/>
            </w:tcBorders>
          </w:tcPr>
          <w:p>
            <w:pPr>
              <w:spacing w:lineRule="auto"/>
            </w:pPr>
            <w:r>
              <w:rPr/>
              <w:t xml:space="preserve">AI video analysis</w:t>
            </w:r>
          </w:p>
        </w:tc>
        <w:tc>
          <w:tcPr>
            <w:tcBorders>
              <w:top w:val="single" w:sz="1" w:space="0" w:color="000000"/>
              <w:left w:val="single" w:sz="1" w:space="0" w:color="000000"/>
              <w:bottom w:val="single" w:sz="1" w:space="0" w:color="000000"/>
            </w:tcBorders>
          </w:tcPr>
          <w:p>
            <w:pPr>
              <w:spacing w:lineRule="auto"/>
            </w:pPr>
            <w:r>
              <w:rPr/>
              <w:t xml:space="preserve">No program delivery, no professional services model</w:t>
            </w:r>
          </w:p>
        </w:tc>
      </w:tr>
    </w:tbl>
    <w:p>
      <w:pPr>
        <w:spacing w:lineRule="auto"/>
      </w:pPr>
    </w:p>
    <w:p>
      <w:pPr>
        <w:spacing w:after="210" w:lineRule="auto"/>
      </w:pPr>
      <w:r>
        <w:rPr>
          <w:b/>
        </w:rPr>
        <w:t xml:space="preserve">StudioVerse's Differentiated Position:</w:t>
      </w:r>
      <w:r>
        <w:rPr>
          <w:rFonts w:eastAsia="Georgia" w:cs="Georgia" w:ascii="Georgia" w:hAnsi="Georgia"/>
        </w:rPr>
        <w:t xml:space="preserve"> No existing competitor combines (1) a full LMS with (2) proprietary assessments that generate AI-driven reports with (3) embeddable widget capability with (4) cohort management with (5) a monetizable marketplace — all in a single platform. And no competitor serves coaching, training, AND recruitment from one unified engine. StudioVerse is not competing with any single existing product. It is defining a new category.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section_6_monetization_strategy"/>
      <w:r>
        <w:rPr>
          <w:rFonts w:eastAsia="Georgia" w:cs="Georgia" w:ascii="Georgia" w:hAnsi="Georgia"/>
          <w:b/>
          <w:sz w:val="42"/>
        </w:rPr>
        <w:t xml:space="preserve">Section 6 — Monetization Strategy</w:t>
      </w:r>
      <w:bookmarkEnd w:id="30"/>
    </w:p>
    <w:p>
      <w:pPr>
        <w:spacing w:line="271" w:before="240" w:lineRule="auto"/>
      </w:pPr>
      <w:bookmarkStart w:id="31" w:name="bm_6_1_revenue_streams"/>
      <w:r>
        <w:rPr>
          <w:b/>
          <w:sz w:val="33"/>
        </w:rPr>
        <w:t xml:space="preserve">6.1 Revenue Streams</w:t>
      </w:r>
      <w:bookmarkEnd w:id="31"/>
    </w:p>
    <w:p>
      <w:pPr>
        <w:spacing w:after="210" w:lineRule="auto"/>
      </w:pPr>
      <w:r>
        <w:rPr>
          <w:b/>
        </w:rPr>
        <w:t xml:space="preserve">Stream 1 — Tiered SaaS Subscriptions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Tier</w:t>
            </w:r>
          </w:p>
        </w:tc>
        <w:tc>
          <w:tcPr>
            <w:tcBorders>
              <w:top w:val="single" w:sz="1" w:space="0" w:color="000000"/>
              <w:left w:val="single" w:sz="1" w:space="0" w:color="000000"/>
              <w:bottom w:val="single" w:sz="1" w:space="0" w:color="000000"/>
            </w:tcBorders>
          </w:tcPr>
          <w:p>
            <w:pPr>
              <w:spacing w:lineRule="auto"/>
            </w:pPr>
            <w:r>
              <w:rPr/>
              <w:t xml:space="preserve">Target User</w:t>
            </w:r>
          </w:p>
        </w:tc>
        <w:tc>
          <w:tcPr>
            <w:tcBorders>
              <w:top w:val="single" w:sz="1" w:space="0" w:color="000000"/>
              <w:left w:val="single" w:sz="1" w:space="0" w:color="000000"/>
              <w:bottom w:val="single" w:sz="1" w:space="0" w:color="000000"/>
            </w:tcBorders>
          </w:tcPr>
          <w:p>
            <w:pPr>
              <w:spacing w:lineRule="auto"/>
            </w:pPr>
            <w:r>
              <w:rPr/>
              <w:t xml:space="preserve">Key Features</w:t>
            </w:r>
          </w:p>
        </w:tc>
        <w:tc>
          <w:tcPr>
            <w:tcBorders>
              <w:top w:val="single" w:sz="1" w:space="0" w:color="000000"/>
              <w:left w:val="single" w:sz="1" w:space="0" w:color="000000"/>
              <w:bottom w:val="single" w:sz="1" w:space="0" w:color="000000"/>
            </w:tcBorders>
          </w:tcPr>
          <w:p>
            <w:pPr>
              <w:spacing w:lineRule="auto"/>
            </w:pPr>
            <w:r>
              <w:rPr/>
              <w:t xml:space="preserve">Indicative Price</w:t>
            </w:r>
          </w:p>
        </w:tc>
      </w:tr>
      <w:tr>
        <w:trPr>
          <w:cantSplit/>
        </w:trPr>
        <w:tc>
          <w:tcPr>
            <w:tcBorders>
              <w:top w:val="single" w:sz="1" w:space="0" w:color="000000"/>
              <w:bottom w:val="single" w:sz="1" w:space="0" w:color="000000"/>
            </w:tcBorders>
          </w:tcPr>
          <w:p>
            <w:pPr>
              <w:spacing w:lineRule="auto"/>
            </w:pPr>
            <w:r>
              <w:rPr/>
              <w:t xml:space="preserve">Free Starter</w:t>
            </w:r>
          </w:p>
        </w:tc>
        <w:tc>
          <w:tcPr>
            <w:tcBorders>
              <w:top w:val="single" w:sz="1" w:space="0" w:color="000000"/>
              <w:left w:val="single" w:sz="1" w:space="0" w:color="000000"/>
              <w:bottom w:val="single" w:sz="1" w:space="0" w:color="000000"/>
            </w:tcBorders>
          </w:tcPr>
          <w:p>
            <w:pPr>
              <w:spacing w:lineRule="auto"/>
            </w:pPr>
            <w:r>
              <w:rPr/>
              <w:t xml:space="preserve">Individual</w:t>
            </w:r>
          </w:p>
        </w:tc>
        <w:tc>
          <w:tcPr>
            <w:tcBorders>
              <w:top w:val="single" w:sz="1" w:space="0" w:color="000000"/>
              <w:left w:val="single" w:sz="1" w:space="0" w:color="000000"/>
              <w:bottom w:val="single" w:sz="1" w:space="0" w:color="000000"/>
            </w:tcBorders>
          </w:tcPr>
          <w:p>
            <w:pPr>
              <w:spacing w:lineRule="auto"/>
            </w:pPr>
            <w:r>
              <w:rPr/>
              <w:t xml:space="preserve">Access to free programs, basic tool access</w:t>
            </w:r>
          </w:p>
        </w:tc>
        <w:tc>
          <w:tcPr>
            <w:tcBorders>
              <w:top w:val="single" w:sz="1" w:space="0" w:color="000000"/>
              <w:left w:val="single" w:sz="1" w:space="0" w:color="000000"/>
              <w:bottom w:val="single" w:sz="1" w:space="0" w:color="000000"/>
            </w:tcBorders>
          </w:tcPr>
          <w:p>
            <w:pPr>
              <w:spacing w:lineRule="auto"/>
            </w:pPr>
            <w:r>
              <w:rPr/>
              <w:t xml:space="preserve">$0/month</w:t>
            </w:r>
          </w:p>
        </w:tc>
      </w:tr>
      <w:tr>
        <w:trPr>
          <w:cantSplit/>
        </w:trPr>
        <w:tc>
          <w:tcPr>
            <w:tcBorders>
              <w:top w:val="single" w:sz="1" w:space="0" w:color="000000"/>
              <w:bottom w:val="single" w:sz="1" w:space="0" w:color="000000"/>
            </w:tcBorders>
          </w:tcPr>
          <w:p>
            <w:pPr>
              <w:spacing w:lineRule="auto"/>
            </w:pPr>
            <w:r>
              <w:rPr/>
              <w:t xml:space="preserve">Pro</w:t>
            </w:r>
          </w:p>
        </w:tc>
        <w:tc>
          <w:tcPr>
            <w:tcBorders>
              <w:top w:val="single" w:sz="1" w:space="0" w:color="000000"/>
              <w:left w:val="single" w:sz="1" w:space="0" w:color="000000"/>
              <w:bottom w:val="single" w:sz="1" w:space="0" w:color="000000"/>
            </w:tcBorders>
          </w:tcPr>
          <w:p>
            <w:pPr>
              <w:spacing w:lineRule="auto"/>
            </w:pPr>
            <w:r>
              <w:rPr/>
              <w:t xml:space="preserve">Independent Professional</w:t>
            </w:r>
          </w:p>
        </w:tc>
        <w:tc>
          <w:tcPr>
            <w:tcBorders>
              <w:top w:val="single" w:sz="1" w:space="0" w:color="000000"/>
              <w:left w:val="single" w:sz="1" w:space="0" w:color="000000"/>
              <w:bottom w:val="single" w:sz="1" w:space="0" w:color="000000"/>
            </w:tcBorders>
          </w:tcPr>
          <w:p>
            <w:pPr>
              <w:spacing w:lineRule="auto"/>
            </w:pPr>
            <w:r>
              <w:rPr/>
              <w:t xml:space="preserve">Full cohort management, branding, widget deployment, AI reports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$49–$79/month</w:t>
            </w:r>
          </w:p>
        </w:tc>
      </w:tr>
      <w:tr>
        <w:trPr>
          <w:cantSplit/>
        </w:trPr>
        <w:tc>
          <w:tcPr>
            <w:tcBorders>
              <w:top w:val="single" w:sz="1" w:space="0" w:color="000000"/>
              <w:bottom w:val="single" w:sz="1" w:space="0" w:color="000000"/>
            </w:tcBorders>
          </w:tcPr>
          <w:p>
            <w:pPr>
              <w:spacing w:lineRule="auto"/>
            </w:pPr>
            <w:r>
              <w:rPr/>
              <w:t xml:space="preserve">Enterprise</w:t>
            </w:r>
          </w:p>
        </w:tc>
        <w:tc>
          <w:tcPr>
            <w:tcBorders>
              <w:top w:val="single" w:sz="1" w:space="0" w:color="000000"/>
              <w:left w:val="single" w:sz="1" w:space="0" w:color="000000"/>
              <w:bottom w:val="single" w:sz="1" w:space="0" w:color="000000"/>
            </w:tcBorders>
          </w:tcPr>
          <w:p>
            <w:pPr>
              <w:spacing w:lineRule="auto"/>
            </w:pPr>
            <w:r>
              <w:rPr/>
              <w:t xml:space="preserve">Company</w:t>
            </w:r>
          </w:p>
        </w:tc>
        <w:tc>
          <w:tcPr>
            <w:tcBorders>
              <w:top w:val="single" w:sz="1" w:space="0" w:color="000000"/>
              <w:left w:val="single" w:sz="1" w:space="0" w:color="000000"/>
              <w:bottom w:val="single" w:sz="1" w:space="0" w:color="000000"/>
            </w:tcBorders>
          </w:tcPr>
          <w:p>
            <w:pPr>
              <w:spacing w:lineRule="auto"/>
            </w:pPr>
            <w:r>
              <w:rPr/>
              <w:t xml:space="preserve">Multi-Professional management, organizational analytics, white-labeling, bulk tools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$299–$999/month</w:t>
            </w:r>
          </w:p>
        </w:tc>
      </w:tr>
    </w:tbl>
    <w:p>
      <w:pPr>
        <w:spacing w:lineRule="auto"/>
      </w:pPr>
    </w:p>
    <w:p>
      <w:pPr>
        <w:spacing w:after="210" w:lineRule="auto"/>
      </w:pPr>
      <w:r>
        <w:rPr>
          <w:b/>
        </w:rPr>
        <w:t xml:space="preserve">Stream 2 — Marketplace Commission</w:t>
      </w:r>
      <w:r>
        <w:rPr/>
        <w:br w:type="textWrapping"/>
      </w:r>
      <w:r>
        <w:rPr>
          <w:rFonts w:eastAsia="Georgia" w:cs="Georgia" w:ascii="Georgia" w:hAnsi="Georgia"/>
        </w:rPr>
        <w:t xml:space="preserve">10–15% on every transaction processed through StudioVerse's marketplace:</w:t>
      </w:r>
    </w:p>
    <w:p>
      <w:pPr>
        <w:numPr>
          <w:ilvl w:val="0"/>
          <w:numId w:val="13"/>
        </w:numPr>
        <w:spacing w:lineRule="auto"/>
      </w:pPr>
      <w:r>
        <w:rPr/>
        <w:t xml:space="preserve">Individual program purchases (video courses, PDF guides, audio programs)</w:t>
      </w:r>
    </w:p>
    <w:p>
      <w:pPr>
        <w:numPr>
          <w:ilvl w:val="0"/>
          <w:numId w:val="13"/>
        </w:numPr>
        <w:spacing w:lineRule="auto"/>
      </w:pPr>
      <w:r>
        <w:rPr/>
        <w:t xml:space="preserve">Event ticket sales (paid workshops, masterclasses)</w:t>
      </w:r>
    </w:p>
    <w:p>
      <w:pPr>
        <w:numPr>
          <w:ilvl w:val="0"/>
          <w:numId w:val="13"/>
        </w:numPr>
        <w:spacing w:lineRule="auto"/>
      </w:pPr>
      <w:r>
        <w:rPr/>
        <w:t xml:space="preserve">Future: Direct professional session bookings between Individuals and Professionals</w:t>
      </w:r>
    </w:p>
    <w:p>
      <w:pPr>
        <w:spacing w:after="210" w:lineRule="auto"/>
      </w:pPr>
      <w:r>
        <w:rPr>
          <w:rFonts w:eastAsia="Georgia" w:cs="Georgia" w:ascii="Georgia" w:hAnsi="Georgia"/>
        </w:rPr>
        <w:t xml:space="preserve">This creates a revenue stream that scales proportionally with marketplace volume — the larger the catalog and user base, the more transactions occur with no additional cost to StudioVerse.</w:t>
      </w:r>
    </w:p>
    <w:p>
      <w:pPr>
        <w:spacing w:after="210" w:lineRule="auto"/>
      </w:pPr>
      <w:r>
        <w:rPr>
          <w:b/>
        </w:rPr>
        <w:t xml:space="preserve">Stream 3 — Studio Licensing</w:t>
      </w:r>
      <w:r>
        <w:rPr/>
        <w:br w:type="textWrapping"/>
      </w:r>
      <w:r>
        <w:rPr>
          <w:rFonts w:eastAsia="Georgia" w:cs="Georgia" w:ascii="Georgia" w:hAnsi="Georgia"/>
        </w:rPr>
        <w:t xml:space="preserve">Companies and enterprise buyers wishing to deploy a fully white-labeled Studio instance — with custom domain, custom branding, and private catalog — pay a recurring Studio License fee on top of their Enterprise subscription. This is distinct from standard white-label included in the Enterprise tier and covers fully isolated, custom-domain deployments.</w:t>
      </w:r>
    </w:p>
    <w:p>
      <w:pPr>
        <w:spacing w:after="210" w:lineRule="auto"/>
      </w:pPr>
      <w:r>
        <w:rPr>
          <w:b/>
        </w:rPr>
        <w:t xml:space="preserve">Stream 4 — Widget License Fees</w:t>
      </w:r>
      <w:r>
        <w:rPr/>
        <w:br w:type="textWrapping"/>
      </w:r>
      <w:r>
        <w:rPr>
          <w:rFonts w:eastAsia="Georgia" w:cs="Georgia" w:ascii="Georgia" w:hAnsi="Georgia"/>
        </w:rPr>
        <w:t xml:space="preserve">Professionals and Companies wishing to deploy the assessment widget suite for permanent, custom-branded embedding on external websites — beyond the standard widget capability included in Pro/Enterprise — pay a recurring licensing fee for custom-domain, custom-branded widget deployments.</w:t>
      </w:r>
    </w:p>
    <w:p>
      <w:pPr>
        <w:spacing w:after="210" w:lineRule="auto"/>
      </w:pPr>
      <w:r>
        <w:rPr>
          <w:b/>
        </w:rPr>
        <w:t xml:space="preserve">Stream 5 — Contextual Intelligence Advertising</w:t>
      </w:r>
      <w:r>
        <w:rPr/>
        <w:br w:type="textWrapping"/>
      </w:r>
      <w:r>
        <w:rPr>
          <w:rFonts w:eastAsia="Georgia" w:cs="Georgia" w:ascii="Georgia" w:hAnsi="Georgia"/>
        </w:rPr>
        <w:t xml:space="preserve">Using anonymized assessment result patterns (e.g., a user who scores low on Clarity may benefit from recommended books or purpose-discovery workshops), StudioVerse can serve highly targeted affiliate recommendations at the precise moment of user need — generating affiliate commissions from publishers, online course creators, and event organizers. All data usage is anonymized, aggregated, and fully GDPR/PDPA compliant.</w:t>
      </w:r>
    </w:p>
    <w:p>
      <w:pPr>
        <w:spacing w:after="210" w:lineRule="auto"/>
      </w:pPr>
      <w:r>
        <w:rPr>
          <w:b/>
        </w:rPr>
        <w:t xml:space="preserve">Stream 6 — Premium AI Features</w:t>
      </w:r>
      <w:r>
        <w:rPr/>
        <w:br w:type="textWrapping"/>
      </w:r>
      <w:r>
        <w:rPr>
          <w:rFonts w:eastAsia="Georgia" w:cs="Georgia" w:ascii="Georgia" w:hAnsi="Georgia"/>
        </w:rPr>
        <w:t xml:space="preserve">As the platform's dataset matures, premium AI-powered features — predictive professional development pathway recommendations, automated progress insights, benchmark comparisons against peer cohort data, AI coach-matching algorithms — can be tiered as premium add-ons for Pro and Enterprise subscribers.</w:t>
      </w:r>
    </w:p>
    <w:p>
      <w:pPr>
        <w:spacing w:line="271" w:before="240" w:lineRule="auto"/>
      </w:pPr>
      <w:bookmarkStart w:id="32" w:name="bm_6_2_unit_economics_model_indicative"/>
      <w:r>
        <w:rPr>
          <w:b/>
          <w:sz w:val="33"/>
        </w:rPr>
        <w:t xml:space="preserve">6.2 Unit Economics Model (Indicative)</w:t>
      </w:r>
      <w:bookmarkEnd w:id="3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Year 1 Target</w:t>
            </w:r>
          </w:p>
        </w:tc>
        <w:tc>
          <w:tcPr>
            <w:tcBorders>
              <w:top w:val="single" w:sz="1" w:space="0" w:color="000000"/>
              <w:left w:val="single" w:sz="1" w:space="0" w:color="000000"/>
              <w:bottom w:val="single" w:sz="1" w:space="0" w:color="000000"/>
            </w:tcBorders>
          </w:tcPr>
          <w:p>
            <w:pPr>
              <w:spacing w:lineRule="auto"/>
            </w:pPr>
            <w:r>
              <w:rPr/>
              <w:t xml:space="preserve">Year 3 Target</w:t>
            </w:r>
          </w:p>
        </w:tc>
      </w:tr>
      <w:tr>
        <w:trPr>
          <w:cantSplit/>
        </w:trPr>
        <w:tc>
          <w:tcPr>
            <w:tcBorders>
              <w:top w:val="single" w:sz="1" w:space="0" w:color="000000"/>
              <w:bottom w:val="single" w:sz="1" w:space="0" w:color="000000"/>
            </w:tcBorders>
          </w:tcPr>
          <w:p>
            <w:pPr>
              <w:spacing w:lineRule="auto"/>
            </w:pPr>
            <w:r>
              <w:rPr/>
              <w:t xml:space="preserve">Total Registered Users (all Studios)</w:t>
            </w:r>
          </w:p>
        </w:tc>
        <w:tc>
          <w:tcPr>
            <w:tcBorders>
              <w:top w:val="single" w:sz="1" w:space="0" w:color="000000"/>
              <w:left w:val="single" w:sz="1" w:space="0" w:color="000000"/>
              <w:bottom w:val="single" w:sz="1" w:space="0" w:color="000000"/>
            </w:tcBorders>
          </w:tcPr>
          <w:p>
            <w:pPr>
              <w:spacing w:lineRule="auto"/>
            </w:pPr>
            <w:r>
              <w:rPr/>
              <w:t xml:space="preserve">5,000</w:t>
            </w:r>
          </w:p>
        </w:tc>
        <w:tc>
          <w:tcPr>
            <w:tcBorders>
              <w:top w:val="single" w:sz="1" w:space="0" w:color="000000"/>
              <w:left w:val="single" w:sz="1" w:space="0" w:color="000000"/>
              <w:bottom w:val="single" w:sz="1" w:space="0" w:color="000000"/>
            </w:tcBorders>
          </w:tcPr>
          <w:p>
            <w:pPr>
              <w:spacing w:lineRule="auto"/>
            </w:pPr>
            <w:r>
              <w:rPr/>
              <w:t xml:space="preserve">60,000</w:t>
            </w:r>
          </w:p>
        </w:tc>
      </w:tr>
      <w:tr>
        <w:trPr>
          <w:cantSplit/>
        </w:trPr>
        <w:tc>
          <w:tcPr>
            <w:tcBorders>
              <w:top w:val="single" w:sz="1" w:space="0" w:color="000000"/>
              <w:bottom w:val="single" w:sz="1" w:space="0" w:color="000000"/>
            </w:tcBorders>
          </w:tcPr>
          <w:p>
            <w:pPr>
              <w:spacing w:lineRule="auto"/>
            </w:pPr>
            <w:r>
              <w:rPr/>
              <w:t xml:space="preserve">Active Professionals (Pro/Enterprise)</w:t>
            </w:r>
          </w:p>
        </w:tc>
        <w:tc>
          <w:tcPr>
            <w:tcBorders>
              <w:top w:val="single" w:sz="1" w:space="0" w:color="000000"/>
              <w:left w:val="single" w:sz="1" w:space="0" w:color="000000"/>
              <w:bottom w:val="single" w:sz="1" w:space="0" w:color="000000"/>
            </w:tcBorders>
          </w:tcPr>
          <w:p>
            <w:pPr>
              <w:spacing w:lineRule="auto"/>
            </w:pPr>
            <w:r>
              <w:rPr/>
              <w:t xml:space="preserve">500</w:t>
            </w:r>
          </w:p>
        </w:tc>
        <w:tc>
          <w:tcPr>
            <w:tcBorders>
              <w:top w:val="single" w:sz="1" w:space="0" w:color="000000"/>
              <w:left w:val="single" w:sz="1" w:space="0" w:color="000000"/>
              <w:bottom w:val="single" w:sz="1" w:space="0" w:color="000000"/>
            </w:tcBorders>
          </w:tcPr>
          <w:p>
            <w:pPr>
              <w:spacing w:lineRule="auto"/>
            </w:pPr>
            <w:r>
              <w:rPr/>
              <w:t xml:space="preserve">8,000</w:t>
            </w:r>
          </w:p>
        </w:tc>
      </w:tr>
      <w:tr>
        <w:trPr>
          <w:cantSplit/>
        </w:trPr>
        <w:tc>
          <w:tcPr>
            <w:tcBorders>
              <w:top w:val="single" w:sz="1" w:space="0" w:color="000000"/>
              <w:bottom w:val="single" w:sz="1" w:space="0" w:color="000000"/>
            </w:tcBorders>
          </w:tcPr>
          <w:p>
            <w:pPr>
              <w:spacing w:lineRule="auto"/>
            </w:pPr>
            <w:r>
              <w:rPr/>
              <w:t xml:space="preserve">Active Companies (Enterprise)</w:t>
            </w:r>
          </w:p>
        </w:tc>
        <w:tc>
          <w:tcPr>
            <w:tcBorders>
              <w:top w:val="single" w:sz="1" w:space="0" w:color="000000"/>
              <w:left w:val="single" w:sz="1" w:space="0" w:color="000000"/>
              <w:bottom w:val="single" w:sz="1" w:space="0" w:color="000000"/>
            </w:tcBorders>
          </w:tcPr>
          <w:p>
            <w:pPr>
              <w:spacing w:lineRule="auto"/>
            </w:pPr>
            <w:r>
              <w:rPr/>
              <w:t xml:space="preserve">20</w:t>
            </w:r>
          </w:p>
        </w:tc>
        <w:tc>
          <w:tcPr>
            <w:tcBorders>
              <w:top w:val="single" w:sz="1" w:space="0" w:color="000000"/>
              <w:left w:val="single" w:sz="1" w:space="0" w:color="000000"/>
              <w:bottom w:val="single" w:sz="1" w:space="0" w:color="000000"/>
            </w:tcBorders>
          </w:tcPr>
          <w:p>
            <w:pPr>
              <w:spacing w:lineRule="auto"/>
            </w:pPr>
            <w:r>
              <w:rPr/>
              <w:t xml:space="preserve">300</w:t>
            </w:r>
          </w:p>
        </w:tc>
      </w:tr>
      <w:tr>
        <w:trPr>
          <w:cantSplit/>
        </w:trPr>
        <w:tc>
          <w:tcPr>
            <w:tcBorders>
              <w:top w:val="single" w:sz="1" w:space="0" w:color="000000"/>
              <w:bottom w:val="single" w:sz="1" w:space="0" w:color="000000"/>
            </w:tcBorders>
          </w:tcPr>
          <w:p>
            <w:pPr>
              <w:spacing w:lineRule="auto"/>
            </w:pPr>
            <w:r>
              <w:rPr/>
              <w:t xml:space="preserve">Active Individuals</w:t>
            </w:r>
          </w:p>
        </w:tc>
        <w:tc>
          <w:tcPr>
            <w:tcBorders>
              <w:top w:val="single" w:sz="1" w:space="0" w:color="000000"/>
              <w:left w:val="single" w:sz="1" w:space="0" w:color="000000"/>
              <w:bottom w:val="single" w:sz="1" w:space="0" w:color="000000"/>
            </w:tcBorders>
          </w:tcPr>
          <w:p>
            <w:pPr>
              <w:spacing w:lineRule="auto"/>
            </w:pPr>
            <w:r>
              <w:rPr/>
              <w:t xml:space="preserve">3,500</w:t>
            </w:r>
          </w:p>
        </w:tc>
        <w:tc>
          <w:tcPr>
            <w:tcBorders>
              <w:top w:val="single" w:sz="1" w:space="0" w:color="000000"/>
              <w:left w:val="single" w:sz="1" w:space="0" w:color="000000"/>
              <w:bottom w:val="single" w:sz="1" w:space="0" w:color="000000"/>
            </w:tcBorders>
          </w:tcPr>
          <w:p>
            <w:pPr>
              <w:spacing w:lineRule="auto"/>
            </w:pPr>
            <w:r>
              <w:rPr/>
              <w:t xml:space="preserve">45,000</w:t>
            </w:r>
          </w:p>
        </w:tc>
      </w:tr>
      <w:tr>
        <w:trPr>
          <w:cantSplit/>
        </w:trPr>
        <w:tc>
          <w:tcPr>
            <w:tcBorders>
              <w:top w:val="single" w:sz="1" w:space="0" w:color="000000"/>
              <w:bottom w:val="single" w:sz="1" w:space="0" w:color="000000"/>
            </w:tcBorders>
          </w:tcPr>
          <w:p>
            <w:pPr>
              <w:spacing w:lineRule="auto"/>
            </w:pPr>
            <w:r>
              <w:rPr/>
              <w:t xml:space="preserve">Marketplace Transactions/Month</w:t>
            </w:r>
          </w:p>
        </w:tc>
        <w:tc>
          <w:tcPr>
            <w:tcBorders>
              <w:top w:val="single" w:sz="1" w:space="0" w:color="000000"/>
              <w:left w:val="single" w:sz="1" w:space="0" w:color="000000"/>
              <w:bottom w:val="single" w:sz="1" w:space="0" w:color="000000"/>
            </w:tcBorders>
          </w:tcPr>
          <w:p>
            <w:pPr>
              <w:spacing w:lineRule="auto"/>
            </w:pPr>
            <w:r>
              <w:rPr/>
              <w:t xml:space="preserve">300</w:t>
            </w:r>
          </w:p>
        </w:tc>
        <w:tc>
          <w:tcPr>
            <w:tcBorders>
              <w:top w:val="single" w:sz="1" w:space="0" w:color="000000"/>
              <w:left w:val="single" w:sz="1" w:space="0" w:color="000000"/>
              <w:bottom w:val="single" w:sz="1" w:space="0" w:color="000000"/>
            </w:tcBorders>
          </w:tcPr>
          <w:p>
            <w:pPr>
              <w:spacing w:lineRule="auto"/>
            </w:pPr>
            <w:r>
              <w:rPr/>
              <w:t xml:space="preserve">7,000</w:t>
            </w:r>
          </w:p>
        </w:tc>
      </w:tr>
      <w:tr>
        <w:trPr>
          <w:cantSplit/>
        </w:trPr>
        <w:tc>
          <w:tcPr>
            <w:tcBorders>
              <w:top w:val="single" w:sz="1" w:space="0" w:color="000000"/>
              <w:bottom w:val="single" w:sz="1" w:space="0" w:color="000000"/>
            </w:tcBorders>
          </w:tcPr>
          <w:p>
            <w:pPr>
              <w:spacing w:lineRule="auto"/>
            </w:pPr>
            <w:r>
              <w:rPr/>
              <w:t xml:space="preserve">Monthly Recurring Revenue (SaaS)</w:t>
            </w:r>
          </w:p>
        </w:tc>
        <w:tc>
          <w:tcPr>
            <w:tcBorders>
              <w:top w:val="single" w:sz="1" w:space="0" w:color="000000"/>
              <w:left w:val="single" w:sz="1" w:space="0" w:color="000000"/>
              <w:bottom w:val="single" w:sz="1" w:space="0" w:color="000000"/>
            </w:tcBorders>
          </w:tcPr>
          <w:p>
            <w:pPr>
              <w:spacing w:lineRule="auto"/>
            </w:pPr>
            <w:r>
              <w:rPr/>
              <w:t xml:space="preserve">$35,000</w:t>
            </w:r>
          </w:p>
        </w:tc>
        <w:tc>
          <w:tcPr>
            <w:tcBorders>
              <w:top w:val="single" w:sz="1" w:space="0" w:color="000000"/>
              <w:left w:val="single" w:sz="1" w:space="0" w:color="000000"/>
              <w:bottom w:val="single" w:sz="1" w:space="0" w:color="000000"/>
            </w:tcBorders>
          </w:tcPr>
          <w:p>
            <w:pPr>
              <w:spacing w:lineRule="auto"/>
            </w:pPr>
            <w:r>
              <w:rPr/>
              <w:t xml:space="preserve">$600,000</w:t>
            </w:r>
          </w:p>
        </w:tc>
      </w:tr>
      <w:tr>
        <w:trPr>
          <w:cantSplit/>
        </w:trPr>
        <w:tc>
          <w:tcPr>
            <w:tcBorders>
              <w:top w:val="single" w:sz="1" w:space="0" w:color="000000"/>
              <w:bottom w:val="single" w:sz="1" w:space="0" w:color="000000"/>
            </w:tcBorders>
          </w:tcPr>
          <w:p>
            <w:pPr>
              <w:spacing w:lineRule="auto"/>
            </w:pPr>
            <w:r>
              <w:rPr/>
              <w:t xml:space="preserve">Annual Marketplace Commission</w:t>
            </w:r>
          </w:p>
        </w:tc>
        <w:tc>
          <w:tcPr>
            <w:tcBorders>
              <w:top w:val="single" w:sz="1" w:space="0" w:color="000000"/>
              <w:left w:val="single" w:sz="1" w:space="0" w:color="000000"/>
              <w:bottom w:val="single" w:sz="1" w:space="0" w:color="000000"/>
            </w:tcBorders>
          </w:tcPr>
          <w:p>
            <w:pPr>
              <w:spacing w:lineRule="auto"/>
            </w:pPr>
            <w:r>
              <w:rPr/>
              <w:t xml:space="preserve">$54,000</w:t>
            </w:r>
          </w:p>
        </w:tc>
        <w:tc>
          <w:tcPr>
            <w:tcBorders>
              <w:top w:val="single" w:sz="1" w:space="0" w:color="000000"/>
              <w:left w:val="single" w:sz="1" w:space="0" w:color="000000"/>
              <w:bottom w:val="single" w:sz="1" w:space="0" w:color="000000"/>
            </w:tcBorders>
          </w:tcPr>
          <w:p>
            <w:pPr>
              <w:spacing w:lineRule="auto"/>
            </w:pPr>
            <w:r>
              <w:rPr/>
              <w:t xml:space="preserve">$1,200,000</w:t>
            </w:r>
          </w:p>
        </w:tc>
      </w:tr>
      <w:tr>
        <w:trPr>
          <w:cantSplit/>
        </w:trPr>
        <w:tc>
          <w:tcPr>
            <w:tcBorders>
              <w:top w:val="single" w:sz="1" w:space="0" w:color="000000"/>
              <w:bottom w:val="single" w:sz="1" w:space="0" w:color="000000"/>
            </w:tcBorders>
          </w:tcPr>
          <w:p>
            <w:pPr>
              <w:spacing w:lineRule="auto"/>
            </w:pPr>
            <w:r>
              <w:rPr/>
              <w:t xml:space="preserve">Blended Annual Revenue (Est.)</w:t>
            </w:r>
          </w:p>
        </w:tc>
        <w:tc>
          <w:tcPr>
            <w:tcBorders>
              <w:top w:val="single" w:sz="1" w:space="0" w:color="000000"/>
              <w:left w:val="single" w:sz="1" w:space="0" w:color="000000"/>
              <w:bottom w:val="single" w:sz="1" w:space="0" w:color="000000"/>
            </w:tcBorders>
          </w:tcPr>
          <w:p>
            <w:pPr>
              <w:spacing w:lineRule="auto"/>
            </w:pPr>
            <w:r>
              <w:rPr/>
              <w:t xml:space="preserve">$480,000</w:t>
            </w:r>
          </w:p>
        </w:tc>
        <w:tc>
          <w:tcPr>
            <w:tcBorders>
              <w:top w:val="single" w:sz="1" w:space="0" w:color="000000"/>
              <w:left w:val="single" w:sz="1" w:space="0" w:color="000000"/>
              <w:bottom w:val="single" w:sz="1" w:space="0" w:color="000000"/>
            </w:tcBorders>
          </w:tcPr>
          <w:p>
            <w:pPr>
              <w:spacing w:lineRule="auto"/>
            </w:pPr>
            <w:r>
              <w:rPr/>
              <w:t xml:space="preserve">$8.4M</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section_7_strategic_competitive_moats"/>
      <w:r>
        <w:rPr>
          <w:rFonts w:eastAsia="Georgia" w:cs="Georgia" w:ascii="Georgia" w:hAnsi="Georgia"/>
          <w:b/>
          <w:sz w:val="42"/>
        </w:rPr>
        <w:t xml:space="preserve">Section 7 — Strategic Competitive Moats</w:t>
      </w:r>
      <w:bookmarkEnd w:id="33"/>
    </w:p>
    <w:p>
      <w:pPr>
        <w:spacing w:line="271" w:before="240" w:lineRule="auto"/>
      </w:pPr>
      <w:bookmarkStart w:id="34" w:name="moat_1_the_widget_strategy_viral_c5305a"/>
      <w:r>
        <w:rPr>
          <w:rFonts w:eastAsia="Georgia" w:cs="Georgia" w:ascii="Georgia" w:hAnsi="Georgia"/>
          <w:b/>
          <w:sz w:val="33"/>
        </w:rPr>
        <w:t xml:space="preserve">Moat 1 — The Widget Strategy: Viral Distribution Engine</w:t>
      </w:r>
      <w:bookmarkEnd w:id="34"/>
    </w:p>
    <w:p>
      <w:pPr>
        <w:spacing w:after="210" w:lineRule="auto"/>
      </w:pPr>
      <w:r>
        <w:rPr/>
        <w:t xml:space="preserve">Unlike closed, walled-garden platforms, StudioVerse's tools are designed to leak outward intentionally. Every embeddable assessment widget placed on an external professional website functions simultaneously as:</w:t>
      </w:r>
    </w:p>
    <w:p>
      <w:pPr>
        <w:numPr>
          <w:ilvl w:val="0"/>
          <w:numId w:val="14"/>
        </w:numPr>
        <w:spacing w:lineRule="auto"/>
      </w:pPr>
      <w:r>
        <w:rPr/>
        <w:t xml:space="preserve">A </w:t>
      </w:r>
      <w:r>
        <w:rPr>
          <w:b/>
        </w:rPr>
        <w:t xml:space="preserve">lead acquisition channel</w:t>
      </w:r>
      <w:r>
        <w:rPr>
          <w:rFonts w:eastAsia="Georgia" w:cs="Georgia" w:ascii="Georgia" w:hAnsi="Georgia"/>
        </w:rPr>
        <w:t xml:space="preserve"> — new users who complete an assessment are prompted to create a StudioVerse account to receive their full report</w:t>
      </w:r>
    </w:p>
    <w:p>
      <w:pPr>
        <w:numPr>
          <w:ilvl w:val="0"/>
          <w:numId w:val="14"/>
        </w:numPr>
        <w:spacing w:lineRule="auto"/>
      </w:pPr>
      <w:r>
        <w:rPr/>
        <w:t xml:space="preserve">A </w:t>
      </w:r>
      <w:r>
        <w:rPr>
          <w:b/>
        </w:rPr>
        <w:t xml:space="preserve">brand impression vehicle</w:t>
      </w:r>
      <w:r>
        <w:rPr>
          <w:rFonts w:eastAsia="Georgia" w:cs="Georgia" w:ascii="Georgia" w:hAnsi="Georgia"/>
        </w:rPr>
        <w:t xml:space="preserve"> — the Professional's clients associate AI-powered assessment reports with their Professional's brand, not a generic tool</w:t>
      </w:r>
    </w:p>
    <w:p>
      <w:pPr>
        <w:numPr>
          <w:ilvl w:val="0"/>
          <w:numId w:val="14"/>
        </w:numPr>
        <w:spacing w:lineRule="auto"/>
      </w:pPr>
      <w:r>
        <w:rPr/>
        <w:t xml:space="preserve">A </w:t>
      </w:r>
      <w:r>
        <w:rPr>
          <w:b/>
        </w:rPr>
        <w:t xml:space="preserve">data collection node</w:t>
      </w:r>
      <w:r>
        <w:rPr>
          <w:rFonts w:eastAsia="Georgia" w:cs="Georgia" w:ascii="Georgia" w:hAnsi="Georgia"/>
        </w:rPr>
        <w:t xml:space="preserve"> — anonymous assessment completions enrich the platform's aggregate dataset</w:t>
      </w:r>
    </w:p>
    <w:p>
      <w:pPr>
        <w:spacing w:after="210" w:lineRule="auto"/>
      </w:pPr>
      <w:r>
        <w:rPr>
          <w:rFonts w:eastAsia="Georgia" w:cs="Georgia" w:ascii="Georgia" w:hAnsi="Georgia"/>
        </w:rPr>
        <w:t xml:space="preserve">This creates a viral distribution loop: the more Professionals embed widgets on their sites, the more new users discover and join StudioVerse — without any paid marketing spend. This loop accelerates with every new Professional onboarded.</w:t>
      </w:r>
    </w:p>
    <w:p>
      <w:pPr>
        <w:spacing w:line="271" w:before="240" w:lineRule="auto"/>
      </w:pPr>
      <w:bookmarkStart w:id="35" w:name="moat_2_data_dominance_the_longitu_742c19"/>
      <w:r>
        <w:rPr>
          <w:rFonts w:eastAsia="Georgia" w:cs="Georgia" w:ascii="Georgia" w:hAnsi="Georgia"/>
          <w:b/>
          <w:sz w:val="33"/>
        </w:rPr>
        <w:t xml:space="preserve">Moat 2 — Data Dominance: The Longitudinal Growth Database</w:t>
      </w:r>
      <w:bookmarkEnd w:id="35"/>
    </w:p>
    <w:p>
      <w:pPr>
        <w:spacing w:after="210" w:lineRule="auto"/>
      </w:pPr>
      <w:r>
        <w:rPr/>
        <w:t xml:space="preserve">As StudioVerse accumulates structured assessment data across tens of thousands of Individuals over time, it builds the world's most granular database of human professional and personal development patterns across coaching, training, and recruitment contexts. This creates:</w:t>
      </w:r>
    </w:p>
    <w:p>
      <w:pPr>
        <w:numPr>
          <w:ilvl w:val="0"/>
          <w:numId w:val="15"/>
        </w:numPr>
        <w:spacing w:lineRule="auto"/>
      </w:pPr>
      <w:r>
        <w:rPr>
          <w:b/>
        </w:rPr>
        <w:t xml:space="preserve">Benchmark intelligence</w:t>
      </w:r>
      <w:r>
        <w:rPr>
          <w:rFonts w:eastAsia="Georgia" w:cs="Georgia" w:ascii="Georgia" w:hAnsi="Georgia"/>
        </w:rPr>
        <w:t xml:space="preserve"> — Professionals can see how their clients compare to peer cohorts (anonymously)</w:t>
      </w:r>
    </w:p>
    <w:p>
      <w:pPr>
        <w:numPr>
          <w:ilvl w:val="0"/>
          <w:numId w:val="15"/>
        </w:numPr>
        <w:spacing w:lineRule="auto"/>
      </w:pPr>
      <w:r>
        <w:rPr>
          <w:b/>
        </w:rPr>
        <w:t xml:space="preserve">Predictive capability</w:t>
      </w:r>
      <w:r>
        <w:rPr>
          <w:rFonts w:eastAsia="Georgia" w:cs="Georgia" w:ascii="Georgia" w:hAnsi="Georgia"/>
        </w:rPr>
        <w:t xml:space="preserve"> — Machine learning models can begin recommending optimal professional development pathways based on assessment profiles</w:t>
      </w:r>
    </w:p>
    <w:p>
      <w:pPr>
        <w:numPr>
          <w:ilvl w:val="0"/>
          <w:numId w:val="15"/>
        </w:numPr>
        <w:spacing w:lineRule="auto"/>
      </w:pPr>
      <w:r>
        <w:rPr>
          <w:b/>
        </w:rPr>
        <w:t xml:space="preserve">Research value</w:t>
      </w:r>
      <w:r>
        <w:rPr>
          <w:rFonts w:eastAsia="Georgia" w:cs="Georgia" w:ascii="Georgia" w:hAnsi="Georgia"/>
        </w:rPr>
        <w:t xml:space="preserve"> — Anonymized aggregate data has significant value for HR research, academic partnerships, and enterprise L&amp;D insights</w:t>
      </w:r>
    </w:p>
    <w:p>
      <w:pPr>
        <w:numPr>
          <w:ilvl w:val="0"/>
          <w:numId w:val="15"/>
        </w:numPr>
        <w:spacing w:lineRule="auto"/>
      </w:pPr>
      <w:r>
        <w:rPr>
          <w:b/>
        </w:rPr>
        <w:t xml:space="preserve">AI model training data</w:t>
      </w:r>
      <w:r>
        <w:rPr>
          <w:rFonts w:eastAsia="Georgia" w:cs="Georgia" w:ascii="Georgia" w:hAnsi="Georgia"/>
        </w:rPr>
        <w:t xml:space="preserve"> — Proprietary data for fine-tuning AI report generation, making reports progressively more accurate and insightful</w:t>
      </w:r>
    </w:p>
    <w:p>
      <w:pPr>
        <w:spacing w:after="210" w:lineRule="auto"/>
      </w:pPr>
      <w:r>
        <w:rPr>
          <w:rFonts w:eastAsia="Georgia" w:cs="Georgia" w:ascii="Georgia" w:hAnsi="Georgia"/>
        </w:rPr>
        <w:t xml:space="preserve">No competitor starting today can acquire this dataset without building the equivalent platform first — creating a compounding, time-gated barrier to entry that grows more defensible with every assessment completed on the platform.</w:t>
      </w:r>
    </w:p>
    <w:p>
      <w:pPr>
        <w:spacing w:line="271" w:before="240" w:lineRule="auto"/>
      </w:pPr>
      <w:bookmarkStart w:id="36" w:name="moat_3_the_cohort_network_effect"/>
      <w:r>
        <w:rPr>
          <w:rFonts w:eastAsia="Georgia" w:cs="Georgia" w:ascii="Georgia" w:hAnsi="Georgia"/>
          <w:b/>
          <w:sz w:val="33"/>
        </w:rPr>
        <w:t xml:space="preserve">Moat 3 — The Cohort Network Effect</w:t>
      </w:r>
      <w:bookmarkEnd w:id="36"/>
    </w:p>
    <w:p>
      <w:pPr>
        <w:spacing w:after="210" w:lineRule="auto"/>
      </w:pPr>
      <w:r>
        <w:rPr/>
        <w:t xml:space="preserve">As more Professionals and Companies bring their client bases onto StudioVerse, the event ecosystem densifies. Individual clients can discover other Professionals' public events. Individuals can be referred across professional relationships. The platform increasingly functions as a professional development community where the value of each node increases with the number of connected nodes. This network effect is structurally identical to the dynamics that made LinkedIn, Coursera, and Slack defensible at scale.</w:t>
      </w:r>
    </w:p>
    <w:p>
      <w:pPr>
        <w:spacing w:line="271" w:before="240" w:lineRule="auto"/>
      </w:pPr>
      <w:bookmarkStart w:id="37" w:name="moat_4_the_studio_factory_near_ze_5a7019"/>
      <w:r>
        <w:rPr>
          <w:rFonts w:eastAsia="Georgia" w:cs="Georgia" w:ascii="Georgia" w:hAnsi="Georgia"/>
          <w:b/>
          <w:sz w:val="33"/>
        </w:rPr>
        <w:t xml:space="preserve">Moat 4 — The Studio Factory: Near-Zero Marginal Cost Expansion</w:t>
      </w:r>
      <w:bookmarkEnd w:id="37"/>
    </w:p>
    <w:p>
      <w:pPr>
        <w:spacing w:after="210" w:lineRule="auto"/>
      </w:pPr>
      <w:r>
        <w:rPr>
          <w:rFonts w:eastAsia="Georgia" w:cs="Georgia" w:ascii="Georgia" w:hAnsi="Georgia"/>
        </w:rPr>
        <w:t xml:space="preserve">Every new Studio vertical StudioVerse enters costs a fraction of the original platform build. The engine is complete. The data model is generic. The LMS, assessment, events, cohort, assignment, and reporting infrastructure are vertical-agnostic. Entering a new professional services vertical requires terminology configuration, a new tool suite, and a new landing page — not a new engineering team. This gives StudioVerse a structural expansion advantage that single-vertical competitors can never replicate.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8" w:name="section_8_platform_architecture_p_8eda3f"/>
      <w:r>
        <w:rPr>
          <w:rFonts w:eastAsia="Georgia" w:cs="Georgia" w:ascii="Georgia" w:hAnsi="Georgia"/>
          <w:b/>
          <w:sz w:val="42"/>
        </w:rPr>
        <w:t xml:space="preserve">Section 8 — Platform Architecture Principles</w:t>
      </w:r>
      <w:bookmarkEnd w:id="38"/>
    </w:p>
    <w:p>
      <w:pPr>
        <w:spacing w:line="271" w:before="240" w:lineRule="auto"/>
      </w:pPr>
      <w:bookmarkStart w:id="39" w:name="bm_8_1_technical_foundation"/>
      <w:r>
        <w:rPr>
          <w:b/>
          <w:sz w:val="33"/>
        </w:rPr>
        <w:t xml:space="preserve">8.1 Technical Foundation</w:t>
      </w:r>
      <w:bookmarkEnd w:id="39"/>
    </w:p>
    <w:p>
      <w:pPr>
        <w:spacing w:after="210" w:lineRule="auto"/>
      </w:pPr>
      <w:r>
        <w:rPr/>
        <w:t xml:space="preserve">StudioVerse is built on the following architectural principles to ensure scalability, security, and extensibility:</w:t>
      </w:r>
    </w:p>
    <w:p>
      <w:pPr>
        <w:numPr>
          <w:ilvl w:val="0"/>
          <w:numId w:val="16"/>
        </w:numPr>
        <w:spacing w:lineRule="auto"/>
      </w:pPr>
      <w:r>
        <w:rPr>
          <w:b/>
        </w:rPr>
        <w:t xml:space="preserve">Multi-Tenant SaaS Architecture</w:t>
      </w:r>
      <w:r>
        <w:rPr>
          <w:rFonts w:eastAsia="Georgia" w:cs="Georgia" w:ascii="Georgia" w:hAnsi="Georgia"/>
        </w:rPr>
        <w:t xml:space="preserve"> — Studio-type tenant isolation with Company/Professional scoping enforced via </w:t>
      </w:r>
      <w:r>
        <w:rPr>
          <w:rStyle w:val="VerbatimChar"/>
          <w:rFonts w:eastAsia="menlo" w:cs="menlo" w:ascii="menlo" w:hAnsi="menlo"/>
          <w:shd w:val="clear" w:color="auto" w:fill="F8F8FA"/>
        </w:rPr>
        <w:t xml:space="preserve">userContext</w:t>
      </w:r>
      <w:r>
        <w:rPr/>
        <w:t xml:space="preserve"> RBAC at every data access point</w:t>
      </w:r>
    </w:p>
    <w:p>
      <w:pPr>
        <w:numPr>
          <w:ilvl w:val="0"/>
          <w:numId w:val="16"/>
        </w:numPr>
        <w:spacing w:lineRule="auto"/>
      </w:pPr>
      <w:r>
        <w:rPr>
          <w:b/>
        </w:rPr>
        <w:t xml:space="preserve">Configuration-Driven Studio Deployment</w:t>
      </w:r>
      <w:r>
        <w:rPr>
          <w:rFonts w:eastAsia="Georgia" w:cs="Georgia" w:ascii="Georgia" w:hAnsi="Georgia"/>
        </w:rPr>
        <w:t xml:space="preserve"> — Single </w:t>
      </w:r>
      <w:r>
        <w:rPr>
          <w:rStyle w:val="VerbatimChar"/>
          <w:rFonts w:eastAsia="menlo" w:cs="menlo" w:ascii="menlo" w:hAnsi="menlo"/>
          <w:shd w:val="clear" w:color="auto" w:fill="F8F8FA"/>
        </w:rPr>
        <w:t xml:space="preserve">STUDIO_TYPE</w:t>
      </w:r>
      <w:r>
        <w:rPr/>
        <w:t xml:space="preserve"> environment variable drives branding, terminology, catalog defaults, and UI skin per Studio</w:t>
      </w:r>
    </w:p>
    <w:p>
      <w:pPr>
        <w:numPr>
          <w:ilvl w:val="0"/>
          <w:numId w:val="16"/>
        </w:numPr>
        <w:spacing w:lineRule="auto"/>
      </w:pPr>
      <w:r>
        <w:rPr>
          <w:b/>
        </w:rPr>
        <w:t xml:space="preserve">API-First Design</w:t>
      </w:r>
      <w:r>
        <w:rPr>
          <w:rFonts w:eastAsia="Georgia" w:cs="Georgia" w:ascii="Georgia" w:hAnsi="Georgia"/>
        </w:rPr>
        <w:t xml:space="preserve"> — All core platform functions (assignments, reports, assessments, events) exposed via callable Firebase Functions, enabling future mobile deployment, third-party integrations, and widget infrastructure</w:t>
      </w:r>
    </w:p>
    <w:p>
      <w:pPr>
        <w:numPr>
          <w:ilvl w:val="0"/>
          <w:numId w:val="16"/>
        </w:numPr>
        <w:spacing w:lineRule="auto"/>
      </w:pPr>
      <w:r>
        <w:rPr>
          <w:b/>
        </w:rPr>
        <w:t xml:space="preserve">Assignment-Driven Execution Architecture</w:t>
      </w:r>
      <w:r>
        <w:rPr>
          <w:rFonts w:eastAsia="Georgia" w:cs="Georgia" w:ascii="Georgia" w:hAnsi="Georgia"/>
        </w:rPr>
        <w:t xml:space="preserve"> — Every program, tool, or event delivered to an Individual is mediated through an Assignment entity — creating a complete, auditable record of every professional interaction</w:t>
      </w:r>
    </w:p>
    <w:p>
      <w:pPr>
        <w:numPr>
          <w:ilvl w:val="0"/>
          <w:numId w:val="16"/>
        </w:numPr>
        <w:spacing w:lineRule="auto"/>
      </w:pPr>
      <w:r>
        <w:rPr>
          <w:b/>
        </w:rPr>
        <w:t xml:space="preserve">AI Report Generation via Groq</w:t>
      </w:r>
      <w:r>
        <w:rPr>
          <w:rFonts w:eastAsia="Georgia" w:cs="Georgia" w:ascii="Georgia" w:hAnsi="Georgia"/>
        </w:rPr>
        <w:t xml:space="preserve"> — Upon assessment completion, structured result data is sent to the Groq API, returning a personalized narrative report formatted into a branded PDF</w:t>
      </w:r>
    </w:p>
    <w:p>
      <w:pPr>
        <w:numPr>
          <w:ilvl w:val="0"/>
          <w:numId w:val="16"/>
        </w:numPr>
        <w:spacing w:lineRule="auto"/>
      </w:pPr>
      <w:r>
        <w:rPr>
          <w:b/>
        </w:rPr>
        <w:t xml:space="preserve">Widget Delivery</w:t>
      </w:r>
      <w:r>
        <w:rPr>
          <w:rFonts w:eastAsia="Georgia" w:cs="Georgia" w:ascii="Georgia" w:hAnsi="Georgia"/>
        </w:rPr>
        <w:t xml:space="preserve"> — Each assessment tool generates a unique, secure URL renderable as an embedded iframe or JavaScript snippet on any external website</w:t>
      </w:r>
    </w:p>
    <w:p>
      <w:pPr>
        <w:numPr>
          <w:ilvl w:val="0"/>
          <w:numId w:val="16"/>
        </w:numPr>
        <w:spacing w:lineRule="auto"/>
      </w:pPr>
      <w:r>
        <w:rPr>
          <w:b/>
        </w:rPr>
        <w:t xml:space="preserve">No Direct Database Access from UI</w:t>
      </w:r>
      <w:r>
        <w:rPr>
          <w:rFonts w:eastAsia="Georgia" w:cs="Georgia" w:ascii="Georgia" w:hAnsi="Georgia"/>
        </w:rPr>
        <w:t xml:space="preserve"> — All business logic resides in Firebase Functions. The frontend never accesses Firestore directly. Zero secrets in frontend code.</w:t>
      </w:r>
    </w:p>
    <w:p>
      <w:pPr>
        <w:spacing w:after="210" w:lineRule="auto"/>
      </w:pPr>
      <w:r>
        <w:rPr>
          <w:b/>
        </w:rPr>
        <w:t xml:space="preserve">Technology Stack:</w:t>
      </w:r>
    </w:p>
    <w:p>
      <w:pPr>
        <w:numPr>
          <w:ilvl w:val="0"/>
          <w:numId w:val="17"/>
        </w:numPr>
        <w:spacing w:lineRule="auto"/>
      </w:pPr>
      <w:r>
        <w:rPr>
          <w:b/>
        </w:rPr>
        <w:t xml:space="preserve">Frontend:</w:t>
      </w:r>
      <w:r>
        <w:rPr/>
        <w:t xml:space="preserve"> Next.js App Router, TypeScript, Tailwind CSS + shadcn/ui</w:t>
      </w:r>
    </w:p>
    <w:p>
      <w:pPr>
        <w:numPr>
          <w:ilvl w:val="0"/>
          <w:numId w:val="17"/>
        </w:numPr>
        <w:spacing w:lineRule="auto"/>
      </w:pPr>
      <w:r>
        <w:rPr>
          <w:b/>
        </w:rPr>
        <w:t xml:space="preserve">State Management:</w:t>
      </w:r>
      <w:r>
        <w:rPr/>
        <w:t xml:space="preserve"> Zustand (client-side userContext, session, UI state)</w:t>
      </w:r>
    </w:p>
    <w:p>
      <w:pPr>
        <w:numPr>
          <w:ilvl w:val="0"/>
          <w:numId w:val="17"/>
        </w:numPr>
        <w:spacing w:lineRule="auto"/>
      </w:pPr>
      <w:r>
        <w:rPr>
          <w:b/>
        </w:rPr>
        <w:t xml:space="preserve">Authentication:</w:t>
      </w:r>
      <w:r>
        <w:rPr/>
        <w:t xml:space="preserve"> Firebase Auth</w:t>
      </w:r>
    </w:p>
    <w:p>
      <w:pPr>
        <w:numPr>
          <w:ilvl w:val="0"/>
          <w:numId w:val="17"/>
        </w:numPr>
        <w:spacing w:lineRule="auto"/>
      </w:pPr>
      <w:r>
        <w:rPr>
          <w:b/>
        </w:rPr>
        <w:t xml:space="preserve">Database:</w:t>
      </w:r>
      <w:r>
        <w:rPr/>
        <w:t xml:space="preserve"> Firestore (primary), with denormalized reads and precomputed userContext</w:t>
      </w:r>
    </w:p>
    <w:p>
      <w:pPr>
        <w:numPr>
          <w:ilvl w:val="0"/>
          <w:numId w:val="17"/>
        </w:numPr>
        <w:spacing w:lineRule="auto"/>
      </w:pPr>
      <w:r>
        <w:rPr>
          <w:b/>
        </w:rPr>
        <w:t xml:space="preserve">Backend Logic:</w:t>
      </w:r>
      <w:r>
        <w:rPr/>
        <w:t xml:space="preserve"> Firebase Functions (all business logic, external API calls)</w:t>
      </w:r>
    </w:p>
    <w:p>
      <w:pPr>
        <w:numPr>
          <w:ilvl w:val="0"/>
          <w:numId w:val="17"/>
        </w:numPr>
        <w:spacing w:lineRule="auto"/>
      </w:pPr>
      <w:r>
        <w:rPr>
          <w:b/>
        </w:rPr>
        <w:t xml:space="preserve">Storage:</w:t>
      </w:r>
      <w:r>
        <w:rPr/>
        <w:t xml:space="preserve"> Firebase Storage (program media assets)</w:t>
      </w:r>
    </w:p>
    <w:p>
      <w:pPr>
        <w:numPr>
          <w:ilvl w:val="0"/>
          <w:numId w:val="17"/>
        </w:numPr>
        <w:spacing w:lineRule="auto"/>
      </w:pPr>
      <w:r>
        <w:rPr>
          <w:b/>
        </w:rPr>
        <w:t xml:space="preserve">Notifications:</w:t>
      </w:r>
      <w:r>
        <w:rPr/>
        <w:t xml:space="preserve"> FCM (push), Resend (email)</w:t>
      </w:r>
    </w:p>
    <w:p>
      <w:pPr>
        <w:numPr>
          <w:ilvl w:val="0"/>
          <w:numId w:val="17"/>
        </w:numPr>
        <w:spacing w:lineRule="auto"/>
      </w:pPr>
      <w:r>
        <w:rPr>
          <w:b/>
        </w:rPr>
        <w:t xml:space="preserve">AI:</w:t>
      </w:r>
      <w:r>
        <w:rPr/>
        <w:t xml:space="preserve"> Groq API (report generation)</w:t>
      </w:r>
    </w:p>
    <w:p>
      <w:pPr>
        <w:numPr>
          <w:ilvl w:val="0"/>
          <w:numId w:val="17"/>
        </w:numPr>
        <w:spacing w:lineRule="auto"/>
      </w:pPr>
      <w:r>
        <w:rPr>
          <w:b/>
        </w:rPr>
        <w:t xml:space="preserve">Mobile:</w:t>
      </w:r>
      <w:r>
        <w:rPr/>
        <w:t xml:space="preserve"> Capacitor (iOS and Android wrapper)</w:t>
      </w:r>
    </w:p>
    <w:p>
      <w:pPr>
        <w:numPr>
          <w:ilvl w:val="0"/>
          <w:numId w:val="17"/>
        </w:numPr>
        <w:spacing w:lineRule="auto"/>
      </w:pPr>
      <w:r>
        <w:rPr>
          <w:b/>
        </w:rPr>
        <w:t xml:space="preserve">Hosting:</w:t>
      </w:r>
      <w:r>
        <w:rPr/>
        <w:t xml:space="preserve"> Vercel (frontend), Firebase (backend)</w:t>
      </w:r>
    </w:p>
    <w:p>
      <w:pPr>
        <w:numPr>
          <w:ilvl w:val="0"/>
          <w:numId w:val="17"/>
        </w:numPr>
        <w:spacing w:lineRule="auto"/>
      </w:pPr>
      <w:r>
        <w:rPr>
          <w:b/>
        </w:rPr>
        <w:t xml:space="preserve">Repository:</w:t>
      </w:r>
      <w:r>
        <w:rPr/>
        <w:t xml:space="preserve"> </w:t>
      </w:r>
      <w:r>
        <w:rPr>
          <w:rStyle w:val="VerbatimChar"/>
          <w:rFonts w:eastAsia="menlo" w:cs="menlo" w:ascii="menlo" w:hAnsi="menlo"/>
          <w:shd w:val="clear" w:color="auto" w:fill="F8F8FA"/>
        </w:rPr>
        <w:t xml:space="preserve">studioverse</w:t>
      </w:r>
      <w:r>
        <w:rPr/>
        <w:t xml:space="preserve"> (single monorepo for all Studio deployments)</w:t>
      </w:r>
    </w:p>
    <w:p>
      <w:pPr>
        <w:numPr>
          <w:ilvl w:val="0"/>
          <w:numId w:val="17"/>
        </w:numPr>
        <w:spacing w:lineRule="auto"/>
      </w:pPr>
      <w:r>
        <w:rPr>
          <w:b/>
        </w:rPr>
        <w:t xml:space="preserve">App ID:</w:t>
      </w:r>
      <w:r>
        <w:rPr/>
        <w:t xml:space="preserve"> </w:t>
      </w:r>
      <w:r>
        <w:rPr>
          <w:rStyle w:val="VerbatimChar"/>
          <w:rFonts w:eastAsia="menlo" w:cs="menlo" w:ascii="menlo" w:hAnsi="menlo"/>
          <w:shd w:val="clear" w:color="auto" w:fill="F8F8FA"/>
        </w:rPr>
        <w:t xml:space="preserve">io.studioverse.app</w:t>
      </w:r>
    </w:p>
    <w:p>
      <w:pPr>
        <w:spacing w:line="271" w:before="240" w:lineRule="auto"/>
      </w:pPr>
      <w:bookmarkStart w:id="40" w:name="bm_8_2_mobile_application"/>
      <w:r>
        <w:rPr>
          <w:b/>
          <w:sz w:val="33"/>
        </w:rPr>
        <w:t xml:space="preserve">8.2 Mobile Application</w:t>
      </w:r>
      <w:bookmarkEnd w:id="40"/>
    </w:p>
    <w:p>
      <w:pPr>
        <w:spacing w:after="210" w:lineRule="auto"/>
      </w:pPr>
      <w:r>
        <w:rPr>
          <w:rFonts w:eastAsia="Georgia" w:cs="Georgia" w:ascii="Georgia" w:hAnsi="Georgia"/>
        </w:rPr>
        <w:t xml:space="preserve">The mobile application is a critical engagement multiplier. Research consistently demonstrates that mobile-delivered professional development tools generate dramatically higher completion rates and between-session engagement than email or web-only delivery. StudioVerse's mobile app — a Capacitor-based wrapper for iOS and Android — ensures:</w:t>
      </w:r>
    </w:p>
    <w:p>
      <w:pPr>
        <w:numPr>
          <w:ilvl w:val="0"/>
          <w:numId w:val="18"/>
        </w:numPr>
        <w:spacing w:lineRule="auto"/>
      </w:pPr>
      <w:r>
        <w:rPr/>
        <w:t xml:space="preserve">Push notifications for assignment completions, new programs, and events</w:t>
      </w:r>
    </w:p>
    <w:p>
      <w:pPr>
        <w:numPr>
          <w:ilvl w:val="0"/>
          <w:numId w:val="18"/>
        </w:numPr>
        <w:spacing w:lineRule="auto"/>
      </w:pPr>
      <w:r>
        <w:rPr/>
        <w:t xml:space="preserve">Quick-access assessment tool launches from home screen</w:t>
      </w:r>
    </w:p>
    <w:p>
      <w:pPr>
        <w:numPr>
          <w:ilvl w:val="0"/>
          <w:numId w:val="18"/>
        </w:numPr>
        <w:spacing w:lineRule="auto"/>
      </w:pPr>
      <w:r>
        <w:rPr/>
        <w:t xml:space="preserve">Professional dashboard accessible from anywhere</w:t>
      </w:r>
    </w:p>
    <w:p>
      <w:pPr>
        <w:numPr>
          <w:ilvl w:val="0"/>
          <w:numId w:val="18"/>
        </w:numPr>
        <w:spacing w:lineRule="auto"/>
      </w:pPr>
      <w:r>
        <w:rPr/>
        <w:t xml:space="preserve">Offline-accessible PDF and audio content</w:t>
      </w:r>
    </w:p>
    <w:p>
      <w:pPr>
        <w:numPr>
          <w:ilvl w:val="0"/>
          <w:numId w:val="18"/>
        </w:numPr>
        <w:spacing w:lineRule="auto"/>
      </w:pPr>
      <w:r>
        <w:rPr/>
        <w:t xml:space="preserve">Touch-optimized cohort management for Professionals on the move</w:t>
      </w:r>
    </w:p>
    <w:p>
      <w:pPr>
        <w:spacing w:line="271" w:before="240" w:lineRule="auto"/>
      </w:pPr>
      <w:bookmarkStart w:id="41" w:name="bm_8_3_security_and_compliance"/>
      <w:r>
        <w:rPr>
          <w:b/>
          <w:sz w:val="33"/>
        </w:rPr>
        <w:t xml:space="preserve">8.3 Security and Compliance</w:t>
      </w:r>
      <w:bookmarkEnd w:id="41"/>
    </w:p>
    <w:p>
      <w:pPr>
        <w:numPr>
          <w:ilvl w:val="0"/>
          <w:numId w:val="19"/>
        </w:numPr>
        <w:spacing w:lineRule="auto"/>
      </w:pPr>
      <w:r>
        <w:rPr/>
        <w:t xml:space="preserve">All user data encrypted at rest and in transit (AES-256, TLS 1.3)</w:t>
      </w:r>
    </w:p>
    <w:p>
      <w:pPr>
        <w:numPr>
          <w:ilvl w:val="0"/>
          <w:numId w:val="19"/>
        </w:numPr>
        <w:spacing w:lineRule="auto"/>
      </w:pPr>
      <w:r>
        <w:rPr/>
        <w:t xml:space="preserve">GDPR-compliant data processing architecture for EU users</w:t>
      </w:r>
    </w:p>
    <w:p>
      <w:pPr>
        <w:numPr>
          <w:ilvl w:val="0"/>
          <w:numId w:val="19"/>
        </w:numPr>
        <w:spacing w:lineRule="auto"/>
      </w:pPr>
      <w:r>
        <w:rPr/>
        <w:t xml:space="preserve">Anonymized data handling for all AI and analytics features</w:t>
      </w:r>
    </w:p>
    <w:p>
      <w:pPr>
        <w:numPr>
          <w:ilvl w:val="0"/>
          <w:numId w:val="19"/>
        </w:numPr>
        <w:spacing w:lineRule="auto"/>
      </w:pPr>
      <w:r>
        <w:rPr/>
        <w:t xml:space="preserve">Firestore Security Rules enforce ownership relationships at the database layer</w:t>
      </w:r>
    </w:p>
    <w:p>
      <w:pPr>
        <w:numPr>
          <w:ilvl w:val="0"/>
          <w:numId w:val="19"/>
        </w:numPr>
        <w:spacing w:lineRule="auto"/>
      </w:pPr>
      <w:r>
        <w:rPr>
          <w:rFonts w:eastAsia="Georgia" w:cs="Georgia" w:ascii="Georgia" w:hAnsi="Georgia"/>
        </w:rPr>
        <w:t xml:space="preserve">Firebase Functions validate all inputs — no trust of frontend-supplied data</w:t>
      </w:r>
    </w:p>
    <w:p>
      <w:pPr>
        <w:numPr>
          <w:ilvl w:val="0"/>
          <w:numId w:val="19"/>
        </w:numPr>
        <w:spacing w:lineRule="auto"/>
      </w:pPr>
      <w:r>
        <w:rPr/>
        <w:t xml:space="preserve">Regular security audits and penetration testing post-launch</w:t>
      </w:r>
    </w:p>
    <w:p>
      <w:pPr>
        <w:numPr>
          <w:ilvl w:val="0"/>
          <w:numId w:val="19"/>
        </w:numPr>
        <w:spacing w:lineRule="auto"/>
      </w:pPr>
      <w:r>
        <w:rPr/>
        <w:t xml:space="preserve">PDPA-aligned data practices for India, Singapore, and Southeast Asia markets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2" w:name="section_9_go_to_market_strategy"/>
      <w:r>
        <w:rPr>
          <w:rFonts w:eastAsia="Georgia" w:cs="Georgia" w:ascii="Georgia" w:hAnsi="Georgia"/>
          <w:b/>
          <w:sz w:val="42"/>
        </w:rPr>
        <w:t xml:space="preserve">Section 9 — Go-to-Market Strategy</w:t>
      </w:r>
      <w:bookmarkEnd w:id="42"/>
    </w:p>
    <w:p>
      <w:pPr>
        <w:spacing w:line="271" w:before="240" w:lineRule="auto"/>
      </w:pPr>
      <w:bookmarkStart w:id="43" w:name="bm_9_1_phase_1_seed_the_ecosystem_92585c"/>
      <w:r>
        <w:rPr>
          <w:rFonts w:eastAsia="Georgia" w:cs="Georgia" w:ascii="Georgia" w:hAnsi="Georgia"/>
          <w:b/>
          <w:sz w:val="33"/>
        </w:rPr>
        <w:t xml:space="preserve">9.1 Phase 1 — Seed the Ecosystem (Months 1–6): Coaching Studio Launch</w:t>
      </w:r>
      <w:bookmarkEnd w:id="43"/>
    </w:p>
    <w:p>
      <w:pPr>
        <w:spacing w:after="210" w:lineRule="auto"/>
      </w:pPr>
      <w:r>
        <w:rPr/>
        <w:t xml:space="preserve">The initial go-to-market leverages the founder's existing coaching practice and network as a proof-of-concept distribution channel.</w:t>
      </w:r>
    </w:p>
    <w:p>
      <w:pPr>
        <w:numPr>
          <w:ilvl w:val="0"/>
          <w:numId w:val="20"/>
        </w:numPr>
        <w:spacing w:lineRule="auto"/>
      </w:pPr>
      <w:r>
        <w:rPr>
          <w:b/>
        </w:rPr>
        <w:t xml:space="preserve">Founder-Led Adoption</w:t>
      </w:r>
      <w:r>
        <w:rPr>
          <w:rFonts w:eastAsia="Georgia" w:cs="Georgia" w:ascii="Georgia" w:hAnsi="Georgia"/>
        </w:rPr>
        <w:t xml:space="preserve"> — Dinesh Wadhwani's personal coaching practice at </w:t>
      </w:r>
      <w:hyperlink r:id="rId8">
        <w:r>
          <w:rPr>
            <w:color w:val="4472C4"/>
          </w:rPr>
          <w:t xml:space="preserve">thecoachdinesh.com</w:t>
        </w:r>
      </w:hyperlink>
      <w:r>
        <w:rPr/>
        <w:t xml:space="preserve"> becomes the first active deployment, running live cohorts, assessments, and programs on the production platform</w:t>
      </w:r>
    </w:p>
    <w:p>
      <w:pPr>
        <w:numPr>
          <w:ilvl w:val="0"/>
          <w:numId w:val="20"/>
        </w:numPr>
        <w:spacing w:lineRule="auto"/>
      </w:pPr>
      <w:r>
        <w:rPr>
          <w:b/>
        </w:rPr>
        <w:t xml:space="preserve">Targeted Coach Acquisition</w:t>
      </w:r>
      <w:r>
        <w:rPr>
          <w:rFonts w:eastAsia="Georgia" w:cs="Georgia" w:ascii="Georgia" w:hAnsi="Georgia"/>
        </w:rPr>
        <w:t xml:space="preserve"> — Outreach to 200–500 professional coaches in the India/UAE/South Asia market, offering a 90-day Pro trial in exchange for structured feedback</w:t>
      </w:r>
    </w:p>
    <w:p>
      <w:pPr>
        <w:numPr>
          <w:ilvl w:val="0"/>
          <w:numId w:val="20"/>
        </w:numPr>
        <w:spacing w:lineRule="auto"/>
      </w:pPr>
      <w:r>
        <w:rPr>
          <w:b/>
        </w:rPr>
        <w:t xml:space="preserve">Content Seeding</w:t>
      </w:r>
      <w:r>
        <w:rPr>
          <w:rFonts w:eastAsia="Georgia" w:cs="Georgia" w:ascii="Georgia" w:hAnsi="Georgia"/>
        </w:rPr>
        <w:t xml:space="preserve"> — SuperAdmin populates the catalog with 15–20 high-quality programs (free and paid) to ensure the marketplace feels alive at launch</w:t>
      </w:r>
    </w:p>
    <w:p>
      <w:pPr>
        <w:numPr>
          <w:ilvl w:val="0"/>
          <w:numId w:val="20"/>
        </w:numPr>
        <w:spacing w:lineRule="auto"/>
      </w:pPr>
      <w:r>
        <w:rPr>
          <w:b/>
        </w:rPr>
        <w:t xml:space="preserve">Widget Viral Loop Activation</w:t>
      </w:r>
      <w:r>
        <w:rPr>
          <w:rFonts w:eastAsia="Georgia" w:cs="Georgia" w:ascii="Georgia" w:hAnsi="Georgia"/>
        </w:rPr>
        <w:t xml:space="preserve"> — Every onboarded coach embeds at least one widget on their personal site within 30 days of joining</w:t>
      </w:r>
    </w:p>
    <w:p>
      <w:pPr>
        <w:numPr>
          <w:ilvl w:val="0"/>
          <w:numId w:val="20"/>
        </w:numPr>
        <w:spacing w:lineRule="auto"/>
      </w:pPr>
      <w:r>
        <w:rPr>
          <w:b/>
        </w:rPr>
        <w:t xml:space="preserve">ICF Partnership</w:t>
      </w:r>
      <w:r>
        <w:rPr>
          <w:rFonts w:eastAsia="Georgia" w:cs="Georgia" w:ascii="Georgia" w:hAnsi="Georgia"/>
        </w:rPr>
        <w:t xml:space="preserve"> — Partner with International Coaching Federation chapters for member promotion and platform validation</w:t>
      </w:r>
    </w:p>
    <w:p>
      <w:pPr>
        <w:spacing w:line="271" w:before="240" w:lineRule="auto"/>
      </w:pPr>
      <w:bookmarkStart w:id="44" w:name="bm_9_2_phase_2_scale_the_network_238ab5"/>
      <w:r>
        <w:rPr>
          <w:rFonts w:eastAsia="Georgia" w:cs="Georgia" w:ascii="Georgia" w:hAnsi="Georgia"/>
          <w:b/>
          <w:sz w:val="33"/>
        </w:rPr>
        <w:t xml:space="preserve">9.2 Phase 2 — Scale the Network (Months 7–18): Training Studio Launch + Coaching Scale</w:t>
      </w:r>
      <w:bookmarkEnd w:id="44"/>
    </w:p>
    <w:p>
      <w:pPr>
        <w:numPr>
          <w:ilvl w:val="0"/>
          <w:numId w:val="21"/>
        </w:numPr>
        <w:spacing w:lineRule="auto"/>
      </w:pPr>
      <w:r>
        <w:rPr>
          <w:b/>
        </w:rPr>
        <w:t xml:space="preserve">Training Studio Launch</w:t>
      </w:r>
      <w:r>
        <w:rPr>
          <w:rFonts w:eastAsia="Georgia" w:cs="Georgia" w:ascii="Georgia" w:hAnsi="Georgia"/>
        </w:rPr>
        <w:t xml:space="preserve"> — Deploy Training Studio to corporate L&amp;D buyers, independent trainers, and training companies. Leverage existing technology using identical engine with training-specific skin and tools</w:t>
      </w:r>
    </w:p>
    <w:p>
      <w:pPr>
        <w:numPr>
          <w:ilvl w:val="0"/>
          <w:numId w:val="21"/>
        </w:numPr>
        <w:spacing w:lineRule="auto"/>
      </w:pPr>
      <w:r>
        <w:rPr>
          <w:b/>
        </w:rPr>
        <w:t xml:space="preserve">Coaching Company Outreach</w:t>
      </w:r>
      <w:r>
        <w:rPr>
          <w:rFonts w:eastAsia="Georgia" w:cs="Georgia" w:ascii="Georgia" w:hAnsi="Georgia"/>
        </w:rPr>
        <w:t xml:space="preserve"> — Target 20–30 mid-size coaching consultancies in the corporate L&amp;D space for Enterprise tier pilot programs</w:t>
      </w:r>
    </w:p>
    <w:p>
      <w:pPr>
        <w:numPr>
          <w:ilvl w:val="0"/>
          <w:numId w:val="21"/>
        </w:numPr>
        <w:spacing w:lineRule="auto"/>
      </w:pPr>
      <w:r>
        <w:rPr>
          <w:b/>
        </w:rPr>
        <w:t xml:space="preserve">Content Creator Partnerships</w:t>
      </w:r>
      <w:r>
        <w:rPr>
          <w:rFonts w:eastAsia="Georgia" w:cs="Georgia" w:ascii="Georgia" w:hAnsi="Georgia"/>
        </w:rPr>
        <w:t xml:space="preserve"> — Invite well-known coaches and trainers to publish premium programs on the marketplace, splitting revenues and leveraging their audiences</w:t>
      </w:r>
    </w:p>
    <w:p>
      <w:pPr>
        <w:numPr>
          <w:ilvl w:val="0"/>
          <w:numId w:val="21"/>
        </w:numPr>
        <w:spacing w:lineRule="auto"/>
      </w:pPr>
      <w:r>
        <w:rPr>
          <w:b/>
        </w:rPr>
        <w:t xml:space="preserve">Paid Acquisition</w:t>
      </w:r>
      <w:r>
        <w:rPr>
          <w:rFonts w:eastAsia="Georgia" w:cs="Georgia" w:ascii="Georgia" w:hAnsi="Georgia"/>
        </w:rPr>
        <w:t xml:space="preserve"> — Targeted LinkedIn and Google Ads aimed at independent coaches and trainers searching for practice management software</w:t>
      </w:r>
    </w:p>
    <w:p>
      <w:pPr>
        <w:numPr>
          <w:ilvl w:val="0"/>
          <w:numId w:val="21"/>
        </w:numPr>
        <w:spacing w:lineRule="auto"/>
      </w:pPr>
      <w:r>
        <w:rPr>
          <w:b/>
        </w:rPr>
        <w:t xml:space="preserve">Marketplace Activation</w:t>
      </w:r>
      <w:r>
        <w:rPr>
          <w:rFonts w:eastAsia="Georgia" w:cs="Georgia" w:ascii="Georgia" w:hAnsi="Georgia"/>
        </w:rPr>
        <w:t xml:space="preserve"> — Formal launch of the public-facing content marketplace</w:t>
      </w:r>
    </w:p>
    <w:p>
      <w:pPr>
        <w:spacing w:line="271" w:before="240" w:lineRule="auto"/>
      </w:pPr>
      <w:bookmarkStart w:id="45" w:name="bm_9_3_phase_3_full_ecosystem_mon_83755a"/>
      <w:r>
        <w:rPr>
          <w:rFonts w:eastAsia="Georgia" w:cs="Georgia" w:ascii="Georgia" w:hAnsi="Georgia"/>
          <w:b/>
          <w:sz w:val="33"/>
        </w:rPr>
        <w:t xml:space="preserve">9.3 Phase 3 — Full Ecosystem (Month 19+): Recruitment Studio + International</w:t>
      </w:r>
      <w:bookmarkEnd w:id="45"/>
    </w:p>
    <w:p>
      <w:pPr>
        <w:numPr>
          <w:ilvl w:val="0"/>
          <w:numId w:val="22"/>
        </w:numPr>
        <w:spacing w:lineRule="auto"/>
      </w:pPr>
      <w:r>
        <w:rPr>
          <w:b/>
        </w:rPr>
        <w:t xml:space="preserve">Recruitment Studio Launch</w:t>
      </w:r>
      <w:r>
        <w:rPr>
          <w:rFonts w:eastAsia="Georgia" w:cs="Georgia" w:ascii="Georgia" w:hAnsi="Georgia"/>
        </w:rPr>
        <w:t xml:space="preserve"> — Deploy to talent acquisition firms and in-house recruitment teams. Assessment engine repurposed for skills and role-fit evaluations</w:t>
      </w:r>
    </w:p>
    <w:p>
      <w:pPr>
        <w:numPr>
          <w:ilvl w:val="0"/>
          <w:numId w:val="22"/>
        </w:numPr>
        <w:spacing w:lineRule="auto"/>
      </w:pPr>
      <w:r>
        <w:rPr>
          <w:b/>
        </w:rPr>
        <w:t xml:space="preserve">International Expansion</w:t>
      </w:r>
      <w:r>
        <w:rPr>
          <w:rFonts w:eastAsia="Georgia" w:cs="Georgia" w:ascii="Georgia" w:hAnsi="Georgia"/>
        </w:rPr>
        <w:t xml:space="preserve"> — Localization for UK, Australia, UAE, Singapore</w:t>
      </w:r>
    </w:p>
    <w:p>
      <w:pPr>
        <w:numPr>
          <w:ilvl w:val="0"/>
          <w:numId w:val="22"/>
        </w:numPr>
        <w:spacing w:lineRule="auto"/>
      </w:pPr>
      <w:r>
        <w:rPr>
          <w:b/>
        </w:rPr>
        <w:t xml:space="preserve">Enterprise Partnerships</w:t>
      </w:r>
      <w:r>
        <w:rPr>
          <w:rFonts w:eastAsia="Georgia" w:cs="Georgia" w:ascii="Georgia" w:hAnsi="Georgia"/>
        </w:rPr>
        <w:t xml:space="preserve"> — Formal HR/L&amp;D channel partnerships with HR software vendors and corporate training providers</w:t>
      </w:r>
    </w:p>
    <w:p>
      <w:pPr>
        <w:numPr>
          <w:ilvl w:val="0"/>
          <w:numId w:val="22"/>
        </w:numPr>
        <w:spacing w:lineRule="auto"/>
      </w:pPr>
      <w:r>
        <w:rPr>
          <w:b/>
        </w:rPr>
        <w:t xml:space="preserve">Mobile App Public Launch</w:t>
      </w:r>
      <w:r>
        <w:rPr>
          <w:rFonts w:eastAsia="Georgia" w:cs="Georgia" w:ascii="Georgia" w:hAnsi="Georgia"/>
        </w:rPr>
        <w:t xml:space="preserve"> — Full iOS and Android app availability in major app stores</w:t>
      </w:r>
    </w:p>
    <w:p>
      <w:pPr>
        <w:numPr>
          <w:ilvl w:val="0"/>
          <w:numId w:val="22"/>
        </w:numPr>
        <w:spacing w:lineRule="auto"/>
      </w:pPr>
      <w:r>
        <w:rPr>
          <w:b/>
        </w:rPr>
        <w:t xml:space="preserve">Institutional Buyers</w:t>
      </w:r>
      <w:r>
        <w:rPr>
          <w:rFonts w:eastAsia="Georgia" w:cs="Georgia" w:ascii="Georgia" w:hAnsi="Georgia"/>
        </w:rPr>
        <w:t xml:space="preserve"> — Target Fortune 500 HR and L&amp;D departments for multi-Studio enterprise contracts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6" w:name="section_10_success_metrics_and_kpis"/>
      <w:r>
        <w:rPr>
          <w:rFonts w:eastAsia="Georgia" w:cs="Georgia" w:ascii="Georgia" w:hAnsi="Georgia"/>
          <w:b/>
          <w:sz w:val="42"/>
        </w:rPr>
        <w:t xml:space="preserve">Section 10 — Success Metrics and KPIs</w:t>
      </w:r>
      <w:bookmarkEnd w:id="46"/>
    </w:p>
    <w:p>
      <w:pPr>
        <w:spacing w:line="271" w:before="240" w:lineRule="auto"/>
      </w:pPr>
      <w:bookmarkStart w:id="47" w:name="bm_10_1_platform_health_metrics"/>
      <w:r>
        <w:rPr>
          <w:b/>
          <w:sz w:val="33"/>
        </w:rPr>
        <w:t xml:space="preserve">10.1 Platform Health Metrics</w:t>
      </w:r>
      <w:bookmarkEnd w:id="4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Definition</w:t>
            </w:r>
          </w:p>
        </w:tc>
        <w:tc>
          <w:tcPr>
            <w:tcBorders>
              <w:top w:val="single" w:sz="1" w:space="0" w:color="000000"/>
              <w:left w:val="single" w:sz="1" w:space="0" w:color="000000"/>
              <w:bottom w:val="single" w:sz="1" w:space="0" w:color="000000"/>
            </w:tcBorders>
          </w:tcPr>
          <w:p>
            <w:pPr>
              <w:spacing w:lineRule="auto"/>
            </w:pPr>
            <w:r>
              <w:rPr/>
              <w:t xml:space="preserve">Target: End of Year 1</w:t>
            </w:r>
          </w:p>
        </w:tc>
      </w:tr>
      <w:tr>
        <w:trPr>
          <w:cantSplit/>
        </w:trPr>
        <w:tc>
          <w:tcPr>
            <w:tcBorders>
              <w:top w:val="single" w:sz="1" w:space="0" w:color="000000"/>
              <w:bottom w:val="single" w:sz="1" w:space="0" w:color="000000"/>
            </w:tcBorders>
          </w:tcPr>
          <w:p>
            <w:pPr>
              <w:spacing w:lineRule="auto"/>
            </w:pPr>
            <w:r>
              <w:rPr/>
              <w:t xml:space="preserve">Monthly Active Professionals</w:t>
            </w:r>
          </w:p>
        </w:tc>
        <w:tc>
          <w:tcPr>
            <w:tcBorders>
              <w:top w:val="single" w:sz="1" w:space="0" w:color="000000"/>
              <w:left w:val="single" w:sz="1" w:space="0" w:color="000000"/>
              <w:bottom w:val="single" w:sz="1" w:space="0" w:color="000000"/>
            </w:tcBorders>
          </w:tcPr>
          <w:p>
            <w:pPr>
              <w:spacing w:lineRule="auto"/>
            </w:pPr>
            <w:r>
              <w:rPr/>
              <w:t xml:space="preserve">Professionals who log in and take at least one action per month</w:t>
            </w:r>
          </w:p>
        </w:tc>
        <w:tc>
          <w:tcPr>
            <w:tcBorders>
              <w:top w:val="single" w:sz="1" w:space="0" w:color="000000"/>
              <w:left w:val="single" w:sz="1" w:space="0" w:color="000000"/>
              <w:bottom w:val="single" w:sz="1" w:space="0" w:color="000000"/>
            </w:tcBorders>
          </w:tcPr>
          <w:p>
            <w:pPr>
              <w:spacing w:lineRule="auto"/>
            </w:pPr>
            <w:r>
              <w:rPr/>
              <w:t xml:space="preserve">400</w:t>
            </w:r>
          </w:p>
        </w:tc>
      </w:tr>
      <w:tr>
        <w:trPr>
          <w:cantSplit/>
        </w:trPr>
        <w:tc>
          <w:tcPr>
            <w:tcBorders>
              <w:top w:val="single" w:sz="1" w:space="0" w:color="000000"/>
              <w:bottom w:val="single" w:sz="1" w:space="0" w:color="000000"/>
            </w:tcBorders>
          </w:tcPr>
          <w:p>
            <w:pPr>
              <w:spacing w:lineRule="auto"/>
            </w:pPr>
            <w:r>
              <w:rPr/>
              <w:t xml:space="preserve">Monthly Active Individuals</w:t>
            </w:r>
          </w:p>
        </w:tc>
        <w:tc>
          <w:tcPr>
            <w:tcBorders>
              <w:top w:val="single" w:sz="1" w:space="0" w:color="000000"/>
              <w:left w:val="single" w:sz="1" w:space="0" w:color="000000"/>
              <w:bottom w:val="single" w:sz="1" w:space="0" w:color="000000"/>
            </w:tcBorders>
          </w:tcPr>
          <w:p>
            <w:pPr>
              <w:spacing w:lineRule="auto"/>
            </w:pPr>
            <w:r>
              <w:rPr/>
              <w:t xml:space="preserve">Individuals who complete at least one task per month</w:t>
            </w:r>
          </w:p>
        </w:tc>
        <w:tc>
          <w:tcPr>
            <w:tcBorders>
              <w:top w:val="single" w:sz="1" w:space="0" w:color="000000"/>
              <w:left w:val="single" w:sz="1" w:space="0" w:color="000000"/>
              <w:bottom w:val="single" w:sz="1" w:space="0" w:color="000000"/>
            </w:tcBorders>
          </w:tcPr>
          <w:p>
            <w:pPr>
              <w:spacing w:lineRule="auto"/>
            </w:pPr>
            <w:r>
              <w:rPr/>
              <w:t xml:space="preserve">2,000</w:t>
            </w:r>
          </w:p>
        </w:tc>
      </w:tr>
      <w:tr>
        <w:trPr>
          <w:cantSplit/>
        </w:trPr>
        <w:tc>
          <w:tcPr>
            <w:tcBorders>
              <w:top w:val="single" w:sz="1" w:space="0" w:color="000000"/>
              <w:bottom w:val="single" w:sz="1" w:space="0" w:color="000000"/>
            </w:tcBorders>
          </w:tcPr>
          <w:p>
            <w:pPr>
              <w:spacing w:lineRule="auto"/>
            </w:pPr>
            <w:r>
              <w:rPr/>
              <w:t xml:space="preserve">Tool Completion Rate</w:t>
            </w:r>
          </w:p>
        </w:tc>
        <w:tc>
          <w:tcPr>
            <w:tcBorders>
              <w:top w:val="single" w:sz="1" w:space="0" w:color="000000"/>
              <w:left w:val="single" w:sz="1" w:space="0" w:color="000000"/>
              <w:bottom w:val="single" w:sz="1" w:space="0" w:color="000000"/>
            </w:tcBorders>
          </w:tcPr>
          <w:p>
            <w:pPr>
              <w:spacing w:lineRule="auto"/>
            </w:pPr>
            <w:r>
              <w:rPr/>
              <w:t xml:space="preserve">% of assigned assessments completed within 7 days</w:t>
            </w:r>
          </w:p>
        </w:tc>
        <w:tc>
          <w:tcPr>
            <w:tcBorders>
              <w:top w:val="single" w:sz="1" w:space="0" w:color="000000"/>
              <w:left w:val="single" w:sz="1" w:space="0" w:color="000000"/>
              <w:bottom w:val="single" w:sz="1" w:space="0" w:color="000000"/>
            </w:tcBorders>
          </w:tcPr>
          <w:p>
            <w:pPr>
              <w:spacing w:lineRule="auto"/>
            </w:pPr>
            <w:r>
              <w:rPr/>
              <w:t xml:space="preserve">65%</w:t>
            </w:r>
          </w:p>
        </w:tc>
      </w:tr>
      <w:tr>
        <w:trPr>
          <w:cantSplit/>
        </w:trPr>
        <w:tc>
          <w:tcPr>
            <w:tcBorders>
              <w:top w:val="single" w:sz="1" w:space="0" w:color="000000"/>
              <w:bottom w:val="single" w:sz="1" w:space="0" w:color="000000"/>
            </w:tcBorders>
          </w:tcPr>
          <w:p>
            <w:pPr>
              <w:spacing w:lineRule="auto"/>
            </w:pPr>
            <w:r>
              <w:rPr/>
              <w:t xml:space="preserve">Program Completion Rate</w:t>
            </w:r>
          </w:p>
        </w:tc>
        <w:tc>
          <w:tcPr>
            <w:tcBorders>
              <w:top w:val="single" w:sz="1" w:space="0" w:color="000000"/>
              <w:left w:val="single" w:sz="1" w:space="0" w:color="000000"/>
              <w:bottom w:val="single" w:sz="1" w:space="0" w:color="000000"/>
            </w:tcBorders>
          </w:tcPr>
          <w:p>
            <w:pPr>
              <w:spacing w:lineRule="auto"/>
            </w:pPr>
            <w:r>
              <w:rPr/>
              <w:t xml:space="preserve">% of assigned program modules marked complete</w:t>
            </w:r>
          </w:p>
        </w:tc>
        <w:tc>
          <w:tcPr>
            <w:tcBorders>
              <w:top w:val="single" w:sz="1" w:space="0" w:color="000000"/>
              <w:left w:val="single" w:sz="1" w:space="0" w:color="000000"/>
              <w:bottom w:val="single" w:sz="1" w:space="0" w:color="000000"/>
            </w:tcBorders>
          </w:tcPr>
          <w:p>
            <w:pPr>
              <w:spacing w:lineRule="auto"/>
            </w:pPr>
            <w:r>
              <w:rPr/>
              <w:t xml:space="preserve">55%</w:t>
            </w:r>
          </w:p>
        </w:tc>
      </w:tr>
      <w:tr>
        <w:trPr>
          <w:cantSplit/>
        </w:trPr>
        <w:tc>
          <w:tcPr>
            <w:tcBorders>
              <w:top w:val="single" w:sz="1" w:space="0" w:color="000000"/>
              <w:bottom w:val="single" w:sz="1" w:space="0" w:color="000000"/>
            </w:tcBorders>
          </w:tcPr>
          <w:p>
            <w:pPr>
              <w:spacing w:lineRule="auto"/>
            </w:pPr>
            <w:r>
              <w:rPr/>
              <w:t xml:space="preserve">Widget Embed Rate</w:t>
            </w:r>
          </w:p>
        </w:tc>
        <w:tc>
          <w:tcPr>
            <w:tcBorders>
              <w:top w:val="single" w:sz="1" w:space="0" w:color="000000"/>
              <w:left w:val="single" w:sz="1" w:space="0" w:color="000000"/>
              <w:bottom w:val="single" w:sz="1" w:space="0" w:color="000000"/>
            </w:tcBorders>
          </w:tcPr>
          <w:p>
            <w:pPr>
              <w:spacing w:lineRule="auto"/>
            </w:pPr>
            <w:r>
              <w:rPr/>
              <w:t xml:space="preserve">% of Pro Professionals with at least one active widget on external site</w:t>
            </w:r>
          </w:p>
        </w:tc>
        <w:tc>
          <w:tcPr>
            <w:tcBorders>
              <w:top w:val="single" w:sz="1" w:space="0" w:color="000000"/>
              <w:left w:val="single" w:sz="1" w:space="0" w:color="000000"/>
              <w:bottom w:val="single" w:sz="1" w:space="0" w:color="000000"/>
            </w:tcBorders>
          </w:tcPr>
          <w:p>
            <w:pPr>
              <w:spacing w:lineRule="auto"/>
            </w:pPr>
            <w:r>
              <w:rPr/>
              <w:t xml:space="preserve">40%</w:t>
            </w:r>
          </w:p>
        </w:tc>
      </w:tr>
      <w:tr>
        <w:trPr>
          <w:cantSplit/>
        </w:trPr>
        <w:tc>
          <w:tcPr>
            <w:tcBorders>
              <w:top w:val="single" w:sz="1" w:space="0" w:color="000000"/>
              <w:bottom w:val="single" w:sz="1" w:space="0" w:color="000000"/>
            </w:tcBorders>
          </w:tcPr>
          <w:p>
            <w:pPr>
              <w:spacing w:lineRule="auto"/>
            </w:pPr>
            <w:r>
              <w:rPr/>
              <w:t xml:space="preserve">Professional Retention</w:t>
            </w:r>
          </w:p>
        </w:tc>
        <w:tc>
          <w:tcPr>
            <w:tcBorders>
              <w:top w:val="single" w:sz="1" w:space="0" w:color="000000"/>
              <w:left w:val="single" w:sz="1" w:space="0" w:color="000000"/>
              <w:bottom w:val="single" w:sz="1" w:space="0" w:color="000000"/>
            </w:tcBorders>
          </w:tcPr>
          <w:p>
            <w:pPr>
              <w:spacing w:lineRule="auto"/>
            </w:pPr>
            <w:r>
              <w:rPr/>
              <w:t xml:space="preserve">12-month renewal rate of Pro subscribers</w:t>
            </w:r>
          </w:p>
        </w:tc>
        <w:tc>
          <w:tcPr>
            <w:tcBorders>
              <w:top w:val="single" w:sz="1" w:space="0" w:color="000000"/>
              <w:left w:val="single" w:sz="1" w:space="0" w:color="000000"/>
              <w:bottom w:val="single" w:sz="1" w:space="0" w:color="000000"/>
            </w:tcBorders>
          </w:tcPr>
          <w:p>
            <w:pPr>
              <w:spacing w:lineRule="auto"/>
            </w:pPr>
            <w:r>
              <w:rPr/>
              <w:t xml:space="preserve">70%</w:t>
            </w:r>
          </w:p>
        </w:tc>
      </w:tr>
      <w:tr>
        <w:trPr>
          <w:cantSplit/>
        </w:trPr>
        <w:tc>
          <w:tcPr>
            <w:tcBorders>
              <w:top w:val="single" w:sz="1" w:space="0" w:color="000000"/>
              <w:bottom w:val="single" w:sz="1" w:space="0" w:color="000000"/>
            </w:tcBorders>
          </w:tcPr>
          <w:p>
            <w:pPr>
              <w:spacing w:lineRule="auto"/>
            </w:pPr>
            <w:r>
              <w:rPr/>
              <w:t xml:space="preserve">NPS Score</w:t>
            </w:r>
          </w:p>
        </w:tc>
        <w:tc>
          <w:tcPr>
            <w:tcBorders>
              <w:top w:val="single" w:sz="1" w:space="0" w:color="000000"/>
              <w:left w:val="single" w:sz="1" w:space="0" w:color="000000"/>
              <w:bottom w:val="single" w:sz="1" w:space="0" w:color="000000"/>
            </w:tcBorders>
          </w:tcPr>
          <w:p>
            <w:pPr>
              <w:spacing w:lineRule="auto"/>
            </w:pPr>
            <w:r>
              <w:rPr/>
              <w:t xml:space="preserve">Net Promoter Score from monthly Professional survey</w:t>
            </w:r>
          </w:p>
        </w:tc>
        <w:tc>
          <w:tcPr>
            <w:tcBorders>
              <w:top w:val="single" w:sz="1" w:space="0" w:color="000000"/>
              <w:left w:val="single" w:sz="1" w:space="0" w:color="000000"/>
              <w:bottom w:val="single" w:sz="1" w:space="0" w:color="000000"/>
            </w:tcBorders>
          </w:tcPr>
          <w:p>
            <w:pPr>
              <w:spacing w:lineRule="auto"/>
            </w:pPr>
            <w:r>
              <w:rPr/>
              <w:t xml:space="preserve">45+</w:t>
            </w:r>
          </w:p>
        </w:tc>
      </w:tr>
    </w:tbl>
    <w:p>
      <w:pPr>
        <w:spacing w:lineRule="auto"/>
      </w:pPr>
    </w:p>
    <w:p>
      <w:pPr>
        <w:spacing w:line="271" w:before="240" w:lineRule="auto"/>
      </w:pPr>
      <w:bookmarkStart w:id="48" w:name="bm_10_2_business_metrics"/>
      <w:r>
        <w:rPr>
          <w:b/>
          <w:sz w:val="33"/>
        </w:rPr>
        <w:t xml:space="preserve">10.2 Business Metrics</w:t>
      </w:r>
      <w:bookmarkEnd w:id="4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Definition</w:t>
            </w:r>
          </w:p>
        </w:tc>
        <w:tc>
          <w:tcPr>
            <w:tcBorders>
              <w:top w:val="single" w:sz="1" w:space="0" w:color="000000"/>
              <w:left w:val="single" w:sz="1" w:space="0" w:color="000000"/>
              <w:bottom w:val="single" w:sz="1" w:space="0" w:color="000000"/>
            </w:tcBorders>
          </w:tcPr>
          <w:p>
            <w:pPr>
              <w:spacing w:lineRule="auto"/>
            </w:pPr>
            <w:r>
              <w:rPr/>
              <w:t xml:space="preserve">Target: End of Year 1</w:t>
            </w:r>
          </w:p>
        </w:tc>
      </w:tr>
      <w:tr>
        <w:trPr>
          <w:cantSplit/>
        </w:trPr>
        <w:tc>
          <w:tcPr>
            <w:tcBorders>
              <w:top w:val="single" w:sz="1" w:space="0" w:color="000000"/>
              <w:bottom w:val="single" w:sz="1" w:space="0" w:color="000000"/>
            </w:tcBorders>
          </w:tcPr>
          <w:p>
            <w:pPr>
              <w:spacing w:lineRule="auto"/>
            </w:pPr>
            <w:r>
              <w:rPr/>
              <w:t xml:space="preserve">MRR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Monthly Recurring Revenue — total subscription revenue</w:t>
            </w:r>
          </w:p>
        </w:tc>
        <w:tc>
          <w:tcPr>
            <w:tcBorders>
              <w:top w:val="single" w:sz="1" w:space="0" w:color="000000"/>
              <w:left w:val="single" w:sz="1" w:space="0" w:color="000000"/>
              <w:bottom w:val="single" w:sz="1" w:space="0" w:color="000000"/>
            </w:tcBorders>
          </w:tcPr>
          <w:p>
            <w:pPr>
              <w:spacing w:lineRule="auto"/>
            </w:pPr>
            <w:r>
              <w:rPr/>
              <w:t xml:space="preserve">$35,000</w:t>
            </w:r>
          </w:p>
        </w:tc>
      </w:tr>
      <w:tr>
        <w:trPr>
          <w:cantSplit/>
        </w:trPr>
        <w:tc>
          <w:tcPr>
            <w:tcBorders>
              <w:top w:val="single" w:sz="1" w:space="0" w:color="000000"/>
              <w:bottom w:val="single" w:sz="1" w:space="0" w:color="000000"/>
            </w:tcBorders>
          </w:tcPr>
          <w:p>
            <w:pPr>
              <w:spacing w:lineRule="auto"/>
            </w:pPr>
            <w:r>
              <w:rPr/>
              <w:t xml:space="preserve">ARR</w:t>
            </w:r>
          </w:p>
        </w:tc>
        <w:tc>
          <w:tcPr>
            <w:tcBorders>
              <w:top w:val="single" w:sz="1" w:space="0" w:color="000000"/>
              <w:left w:val="single" w:sz="1" w:space="0" w:color="000000"/>
              <w:bottom w:val="single" w:sz="1" w:space="0" w:color="000000"/>
            </w:tcBorders>
          </w:tcPr>
          <w:p>
            <w:pPr>
              <w:spacing w:lineRule="auto"/>
            </w:pPr>
            <w:r>
              <w:rPr/>
              <w:t xml:space="preserve">Annualized subscription revenue</w:t>
            </w:r>
          </w:p>
        </w:tc>
        <w:tc>
          <w:tcPr>
            <w:tcBorders>
              <w:top w:val="single" w:sz="1" w:space="0" w:color="000000"/>
              <w:left w:val="single" w:sz="1" w:space="0" w:color="000000"/>
              <w:bottom w:val="single" w:sz="1" w:space="0" w:color="000000"/>
            </w:tcBorders>
          </w:tcPr>
          <w:p>
            <w:pPr>
              <w:spacing w:lineRule="auto"/>
            </w:pPr>
            <w:r>
              <w:rPr/>
              <w:t xml:space="preserve">$420,000</w:t>
            </w:r>
          </w:p>
        </w:tc>
      </w:tr>
      <w:tr>
        <w:trPr>
          <w:cantSplit/>
        </w:trPr>
        <w:tc>
          <w:tcPr>
            <w:tcBorders>
              <w:top w:val="single" w:sz="1" w:space="0" w:color="000000"/>
              <w:bottom w:val="single" w:sz="1" w:space="0" w:color="000000"/>
            </w:tcBorders>
          </w:tcPr>
          <w:p>
            <w:pPr>
              <w:spacing w:lineRule="auto"/>
            </w:pPr>
            <w:r>
              <w:rPr/>
              <w:t xml:space="preserve">Marketplace GMV</w:t>
            </w:r>
          </w:p>
        </w:tc>
        <w:tc>
          <w:tcPr>
            <w:tcBorders>
              <w:top w:val="single" w:sz="1" w:space="0" w:color="000000"/>
              <w:left w:val="single" w:sz="1" w:space="0" w:color="000000"/>
              <w:bottom w:val="single" w:sz="1" w:space="0" w:color="000000"/>
            </w:tcBorders>
          </w:tcPr>
          <w:p>
            <w:pPr>
              <w:spacing w:lineRule="auto"/>
            </w:pPr>
            <w:r>
              <w:rPr/>
              <w:t xml:space="preserve">Gross merchandise value of marketplace transactions</w:t>
            </w:r>
          </w:p>
        </w:tc>
        <w:tc>
          <w:tcPr>
            <w:tcBorders>
              <w:top w:val="single" w:sz="1" w:space="0" w:color="000000"/>
              <w:left w:val="single" w:sz="1" w:space="0" w:color="000000"/>
              <w:bottom w:val="single" w:sz="1" w:space="0" w:color="000000"/>
            </w:tcBorders>
          </w:tcPr>
          <w:p>
            <w:pPr>
              <w:spacing w:lineRule="auto"/>
            </w:pPr>
            <w:r>
              <w:rPr/>
              <w:t xml:space="preserve">$300,000</w:t>
            </w:r>
          </w:p>
        </w:tc>
      </w:tr>
      <w:tr>
        <w:trPr>
          <w:cantSplit/>
        </w:trPr>
        <w:tc>
          <w:tcPr>
            <w:tcBorders>
              <w:top w:val="single" w:sz="1" w:space="0" w:color="000000"/>
              <w:bottom w:val="single" w:sz="1" w:space="0" w:color="000000"/>
            </w:tcBorders>
          </w:tcPr>
          <w:p>
            <w:pPr>
              <w:spacing w:lineRule="auto"/>
            </w:pPr>
            <w:r>
              <w:rPr/>
              <w:t xml:space="preserve">Average Revenue Per Professional</w:t>
            </w:r>
          </w:p>
        </w:tc>
        <w:tc>
          <w:tcPr>
            <w:tcBorders>
              <w:top w:val="single" w:sz="1" w:space="0" w:color="000000"/>
              <w:left w:val="single" w:sz="1" w:space="0" w:color="000000"/>
              <w:bottom w:val="single" w:sz="1" w:space="0" w:color="000000"/>
            </w:tcBorders>
          </w:tcPr>
          <w:p>
            <w:pPr>
              <w:spacing w:lineRule="auto"/>
            </w:pPr>
            <w:r>
              <w:rPr/>
              <w:t xml:space="preserve">Total revenue divided by active paying Professionals</w:t>
            </w:r>
          </w:p>
        </w:tc>
        <w:tc>
          <w:tcPr>
            <w:tcBorders>
              <w:top w:val="single" w:sz="1" w:space="0" w:color="000000"/>
              <w:left w:val="single" w:sz="1" w:space="0" w:color="000000"/>
              <w:bottom w:val="single" w:sz="1" w:space="0" w:color="000000"/>
            </w:tcBorders>
          </w:tcPr>
          <w:p>
            <w:pPr>
              <w:spacing w:lineRule="auto"/>
            </w:pPr>
            <w:r>
              <w:rPr/>
              <w:t xml:space="preserve">$70/month</w:t>
            </w:r>
          </w:p>
        </w:tc>
      </w:tr>
      <w:tr>
        <w:trPr>
          <w:cantSplit/>
        </w:trPr>
        <w:tc>
          <w:tcPr>
            <w:tcBorders>
              <w:top w:val="single" w:sz="1" w:space="0" w:color="000000"/>
              <w:bottom w:val="single" w:sz="1" w:space="0" w:color="000000"/>
            </w:tcBorders>
          </w:tcPr>
          <w:p>
            <w:pPr>
              <w:spacing w:lineRule="auto"/>
            </w:pPr>
            <w:r>
              <w:rPr/>
              <w:t xml:space="preserve">Customer Acquisition Cost (CAC)</w:t>
            </w:r>
          </w:p>
        </w:tc>
        <w:tc>
          <w:tcPr>
            <w:tcBorders>
              <w:top w:val="single" w:sz="1" w:space="0" w:color="000000"/>
              <w:left w:val="single" w:sz="1" w:space="0" w:color="000000"/>
              <w:bottom w:val="single" w:sz="1" w:space="0" w:color="000000"/>
            </w:tcBorders>
          </w:tcPr>
          <w:p>
            <w:pPr>
              <w:spacing w:lineRule="auto"/>
            </w:pPr>
            <w:r>
              <w:rPr/>
              <w:t xml:space="preserve">Marketing/sales spend per new Professional acquired</w:t>
            </w:r>
          </w:p>
        </w:tc>
        <w:tc>
          <w:tcPr>
            <w:tcBorders>
              <w:top w:val="single" w:sz="1" w:space="0" w:color="000000"/>
              <w:left w:val="single" w:sz="1" w:space="0" w:color="000000"/>
              <w:bottom w:val="single" w:sz="1" w:space="0" w:color="000000"/>
            </w:tcBorders>
          </w:tcPr>
          <w:p>
            <w:pPr>
              <w:spacing w:lineRule="auto"/>
            </w:pPr>
            <w:r>
              <w:rPr/>
              <w:t xml:space="preserve">$120</w:t>
            </w:r>
          </w:p>
        </w:tc>
      </w:tr>
      <w:tr>
        <w:trPr>
          <w:cantSplit/>
        </w:trPr>
        <w:tc>
          <w:tcPr>
            <w:tcBorders>
              <w:top w:val="single" w:sz="1" w:space="0" w:color="000000"/>
              <w:bottom w:val="single" w:sz="1" w:space="0" w:color="000000"/>
            </w:tcBorders>
          </w:tcPr>
          <w:p>
            <w:pPr>
              <w:spacing w:lineRule="auto"/>
            </w:pPr>
            <w:r>
              <w:rPr/>
              <w:t xml:space="preserve">Payback Period</w:t>
            </w:r>
          </w:p>
        </w:tc>
        <w:tc>
          <w:tcPr>
            <w:tcBorders>
              <w:top w:val="single" w:sz="1" w:space="0" w:color="000000"/>
              <w:left w:val="single" w:sz="1" w:space="0" w:color="000000"/>
              <w:bottom w:val="single" w:sz="1" w:space="0" w:color="000000"/>
            </w:tcBorders>
          </w:tcPr>
          <w:p>
            <w:pPr>
              <w:spacing w:lineRule="auto"/>
            </w:pPr>
            <w:r>
              <w:rPr/>
              <w:t xml:space="preserve">Months to recoup CAC from subscription revenue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2–3 months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9" w:name="section_11_risks_and_mitigations"/>
      <w:r>
        <w:rPr>
          <w:rFonts w:eastAsia="Georgia" w:cs="Georgia" w:ascii="Georgia" w:hAnsi="Georgia"/>
          <w:b/>
          <w:sz w:val="42"/>
        </w:rPr>
        <w:t xml:space="preserve">Section 11 — Risks and Mitigations</w:t>
      </w:r>
      <w:bookmarkEnd w:id="4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Risk</w:t>
            </w:r>
          </w:p>
        </w:tc>
        <w:tc>
          <w:tcPr>
            <w:tcBorders>
              <w:top w:val="single" w:sz="1" w:space="0" w:color="000000"/>
              <w:left w:val="single" w:sz="1" w:space="0" w:color="000000"/>
              <w:bottom w:val="single" w:sz="1" w:space="0" w:color="000000"/>
            </w:tcBorders>
          </w:tcPr>
          <w:p>
            <w:pPr>
              <w:spacing w:lineRule="auto"/>
            </w:pPr>
            <w:r>
              <w:rPr/>
              <w:t xml:space="preserve">Probability</w:t>
            </w:r>
          </w:p>
        </w:tc>
        <w:tc>
          <w:tcPr>
            <w:tcBorders>
              <w:top w:val="single" w:sz="1" w:space="0" w:color="000000"/>
              <w:left w:val="single" w:sz="1" w:space="0" w:color="000000"/>
              <w:bottom w:val="single" w:sz="1" w:space="0" w:color="000000"/>
            </w:tcBorders>
          </w:tcPr>
          <w:p>
            <w:pPr>
              <w:spacing w:lineRule="auto"/>
            </w:pPr>
            <w:r>
              <w:rPr/>
              <w:t xml:space="preserve">Impact</w:t>
            </w:r>
          </w:p>
        </w:tc>
        <w:tc>
          <w:tcPr>
            <w:tcBorders>
              <w:top w:val="single" w:sz="1" w:space="0" w:color="000000"/>
              <w:left w:val="single" w:sz="1" w:space="0" w:color="000000"/>
              <w:bottom w:val="single" w:sz="1" w:space="0" w:color="000000"/>
            </w:tcBorders>
          </w:tcPr>
          <w:p>
            <w:pPr>
              <w:spacing w:lineRule="auto"/>
            </w:pPr>
            <w:r>
              <w:rPr/>
              <w:t xml:space="preserve">Mitigation Strategy</w:t>
            </w:r>
          </w:p>
        </w:tc>
      </w:tr>
      <w:tr>
        <w:trPr>
          <w:cantSplit/>
        </w:trPr>
        <w:tc>
          <w:tcPr>
            <w:tcBorders>
              <w:top w:val="single" w:sz="1" w:space="0" w:color="000000"/>
              <w:bottom w:val="single" w:sz="1" w:space="0" w:color="000000"/>
            </w:tcBorders>
          </w:tcPr>
          <w:p>
            <w:pPr>
              <w:spacing w:lineRule="auto"/>
            </w:pPr>
            <w:r>
              <w:rPr/>
              <w:t xml:space="preserve">Low initial Professional adoption</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Founder-led adoption, 90-day free trial, white-glove onboarding for first 50 Professionals</w:t>
            </w:r>
          </w:p>
        </w:tc>
      </w:tr>
      <w:tr>
        <w:trPr>
          <w:cantSplit/>
        </w:trPr>
        <w:tc>
          <w:tcPr>
            <w:tcBorders>
              <w:top w:val="single" w:sz="1" w:space="0" w:color="000000"/>
              <w:bottom w:val="single" w:sz="1" w:space="0" w:color="000000"/>
            </w:tcBorders>
          </w:tcPr>
          <w:p>
            <w:pPr>
              <w:spacing w:lineRule="auto"/>
            </w:pPr>
            <w:r>
              <w:rPr/>
              <w:t xml:space="preserve">Competitor replication of widget strategy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Low–Medium</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Speed to market; data network effects create compounding moat over time</w:t>
            </w:r>
          </w:p>
        </w:tc>
      </w:tr>
      <w:tr>
        <w:trPr>
          <w:cantSplit/>
        </w:trPr>
        <w:tc>
          <w:tcPr>
            <w:tcBorders>
              <w:top w:val="single" w:sz="1" w:space="0" w:color="000000"/>
              <w:bottom w:val="single" w:sz="1" w:space="0" w:color="000000"/>
            </w:tcBorders>
          </w:tcPr>
          <w:p>
            <w:pPr>
              <w:spacing w:lineRule="auto"/>
            </w:pPr>
            <w:r>
              <w:rPr/>
              <w:t xml:space="preserve">AI report quality concerns</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Human-review layer for first 500 reports; continuous prompt refinement; Professional feedback loop</w:t>
            </w:r>
          </w:p>
        </w:tc>
      </w:tr>
      <w:tr>
        <w:trPr>
          <w:cantSplit/>
        </w:trPr>
        <w:tc>
          <w:tcPr>
            <w:tcBorders>
              <w:top w:val="single" w:sz="1" w:space="0" w:color="000000"/>
              <w:bottom w:val="single" w:sz="1" w:space="0" w:color="000000"/>
            </w:tcBorders>
          </w:tcPr>
          <w:p>
            <w:pPr>
              <w:spacing w:lineRule="auto"/>
            </w:pPr>
            <w:r>
              <w:rPr/>
              <w:t xml:space="preserve">Data privacy / GDPR compliance</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Privacy-by-design architecture; DPA agreements; legal review before EU launch</w:t>
            </w:r>
          </w:p>
        </w:tc>
      </w:tr>
      <w:tr>
        <w:trPr>
          <w:cantSplit/>
        </w:trPr>
        <w:tc>
          <w:tcPr>
            <w:tcBorders>
              <w:top w:val="single" w:sz="1" w:space="0" w:color="000000"/>
              <w:bottom w:val="single" w:sz="1" w:space="0" w:color="000000"/>
            </w:tcBorders>
          </w:tcPr>
          <w:p>
            <w:pPr>
              <w:spacing w:lineRule="auto"/>
            </w:pPr>
            <w:r>
              <w:rPr/>
              <w:t xml:space="preserve">Payment processing complexity</w:t>
            </w:r>
          </w:p>
        </w:tc>
        <w:tc>
          <w:tcPr>
            <w:tcBorders>
              <w:top w:val="single" w:sz="1" w:space="0" w:color="000000"/>
              <w:left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Stripe integration proven; global escrow model for marketplace transactions</w:t>
            </w:r>
          </w:p>
        </w:tc>
      </w:tr>
      <w:tr>
        <w:trPr>
          <w:cantSplit/>
        </w:trPr>
        <w:tc>
          <w:tcPr>
            <w:tcBorders>
              <w:top w:val="single" w:sz="1" w:space="0" w:color="000000"/>
              <w:bottom w:val="single" w:sz="1" w:space="0" w:color="000000"/>
            </w:tcBorders>
          </w:tcPr>
          <w:p>
            <w:pPr>
              <w:spacing w:lineRule="auto"/>
            </w:pPr>
            <w:r>
              <w:rPr/>
              <w:t xml:space="preserve">Mobile app development delays</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Phase 1 is web-only; Capacitor wrapper developed in parallel as Phase 2 deliverable</w:t>
            </w:r>
          </w:p>
        </w:tc>
      </w:tr>
      <w:tr>
        <w:trPr>
          <w:cantSplit/>
        </w:trPr>
        <w:tc>
          <w:tcPr>
            <w:tcBorders>
              <w:top w:val="single" w:sz="1" w:space="0" w:color="000000"/>
              <w:bottom w:val="single" w:sz="1" w:space="0" w:color="000000"/>
            </w:tcBorders>
          </w:tcPr>
          <w:p>
            <w:pPr>
              <w:spacing w:lineRule="auto"/>
            </w:pPr>
            <w:r>
              <w:rPr/>
              <w:t xml:space="preserve">Multi-Studio complexity overwhelming early team</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Single codebase; Studios are config, not code; strict phased rollout — one Studio at a time</w:t>
            </w:r>
          </w:p>
        </w:tc>
      </w:tr>
      <w:tr>
        <w:trPr>
          <w:cantSplit/>
        </w:trPr>
        <w:tc>
          <w:tcPr>
            <w:tcBorders>
              <w:top w:val="single" w:sz="1" w:space="0" w:color="000000"/>
              <w:bottom w:val="single" w:sz="1" w:space="0" w:color="000000"/>
            </w:tcBorders>
          </w:tcPr>
          <w:p>
            <w:pPr>
              <w:spacing w:lineRule="auto"/>
            </w:pPr>
            <w:r>
              <w:rPr/>
              <w:t xml:space="preserve">Studio terminology confusion for users</w:t>
            </w:r>
          </w:p>
        </w:tc>
        <w:tc>
          <w:tcPr>
            <w:tcBorders>
              <w:top w:val="single" w:sz="1" w:space="0" w:color="000000"/>
              <w:left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Each Studio is fully isolated by domain and brand; users never see "StudioVerse"</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0" w:name="section_12_the_vision_building_th_417edf"/>
      <w:r>
        <w:rPr>
          <w:rFonts w:eastAsia="Georgia" w:cs="Georgia" w:ascii="Georgia" w:hAnsi="Georgia"/>
          <w:b/>
          <w:sz w:val="42"/>
        </w:rPr>
        <w:t xml:space="preserve">Section 12 — The Vision: Building the Professional Services Intelligence Layer</w:t>
      </w:r>
      <w:bookmarkEnd w:id="50"/>
    </w:p>
    <w:p>
      <w:pPr>
        <w:spacing w:line="271" w:before="240" w:lineRule="auto"/>
      </w:pPr>
      <w:bookmarkStart w:id="51" w:name="bm_12_1_the_long_term_ambition"/>
      <w:r>
        <w:rPr>
          <w:b/>
          <w:sz w:val="33"/>
        </w:rPr>
        <w:t xml:space="preserve">12.1 The Long-Term Ambition</w:t>
      </w:r>
      <w:bookmarkEnd w:id="51"/>
    </w:p>
    <w:p>
      <w:pPr>
        <w:spacing w:after="210" w:lineRule="auto"/>
      </w:pPr>
      <w:r>
        <w:rPr/>
        <w:t xml:space="preserve">StudioVerse's long-term vision extends far beyond software tooling. The platform aspires to become the </w:t>
      </w:r>
      <w:r>
        <w:rPr>
          <w:b/>
        </w:rPr>
        <w:t xml:space="preserve">intelligence layer for the entire professional services delivery economy</w:t>
      </w:r>
      <w:r>
        <w:rPr>
          <w:rFonts w:eastAsia="Georgia" w:cs="Georgia" w:ascii="Georgia" w:hAnsi="Georgia"/>
        </w:rPr>
        <w:t xml:space="preserve"> — the authoritative source of structured data on what works in human development, how professional methodologies compare in effectiveness, and what individual learning profiles predict about future growth potential.</w:t>
      </w:r>
    </w:p>
    <w:p>
      <w:pPr>
        <w:spacing w:after="210" w:lineRule="auto"/>
      </w:pPr>
      <w:r>
        <w:rPr/>
        <w:t xml:space="preserve">In five years, StudioVerse envisions:</w:t>
      </w:r>
    </w:p>
    <w:p>
      <w:pPr>
        <w:numPr>
          <w:ilvl w:val="0"/>
          <w:numId w:val="23"/>
        </w:numPr>
        <w:spacing w:lineRule="auto"/>
      </w:pPr>
      <w:r>
        <w:rPr/>
        <w:t xml:space="preserve">A marketplace with 20,000+ active Professionals and 1,000,000+ Individuals globally, spanning coaching, training, and recruitment</w:t>
      </w:r>
    </w:p>
    <w:p>
      <w:pPr>
        <w:numPr>
          <w:ilvl w:val="0"/>
          <w:numId w:val="23"/>
        </w:numPr>
        <w:spacing w:lineRule="auto"/>
      </w:pPr>
      <w:r>
        <w:rPr/>
        <w:t xml:space="preserve">The world's largest proprietary database of structured professional development and assessment data across all three verticals</w:t>
      </w:r>
    </w:p>
    <w:p>
      <w:pPr>
        <w:numPr>
          <w:ilvl w:val="0"/>
          <w:numId w:val="23"/>
        </w:numPr>
        <w:spacing w:lineRule="auto"/>
      </w:pPr>
      <w:r>
        <w:rPr/>
        <w:t xml:space="preserve">AI-powered Professional-matching algorithms that pair Individuals with the optimal coach, trainer, or recruiter for their specific profile and goals</w:t>
      </w:r>
    </w:p>
    <w:p>
      <w:pPr>
        <w:numPr>
          <w:ilvl w:val="0"/>
          <w:numId w:val="23"/>
        </w:numPr>
        <w:spacing w:lineRule="auto"/>
      </w:pPr>
      <w:r>
        <w:rPr/>
        <w:t xml:space="preserve">White-labeled enterprise Studio deployments at Fortune 500 HR, L&amp;D, and talent acquisition departments</w:t>
      </w:r>
    </w:p>
    <w:p>
      <w:pPr>
        <w:numPr>
          <w:ilvl w:val="0"/>
          <w:numId w:val="23"/>
        </w:numPr>
        <w:spacing w:lineRule="auto"/>
      </w:pPr>
      <w:r>
        <w:rPr/>
        <w:t xml:space="preserve">A recognized research partner to academic institutions and enterprise HR organizations studying professional development, skills acquisition, and behavioral change at scale</w:t>
      </w:r>
    </w:p>
    <w:p>
      <w:pPr>
        <w:numPr>
          <w:ilvl w:val="0"/>
          <w:numId w:val="23"/>
        </w:numPr>
        <w:spacing w:lineRule="auto"/>
      </w:pPr>
      <w:r>
        <w:rPr>
          <w:rFonts w:eastAsia="Georgia" w:cs="Georgia" w:ascii="Georgia" w:hAnsi="Georgia"/>
        </w:rPr>
        <w:t xml:space="preserve">A Studio Factory with 6–8 active vertical Studios, each profitable independently and compounding value for the shared platform</w:t>
      </w:r>
    </w:p>
    <w:p>
      <w:pPr>
        <w:spacing w:line="271" w:before="240" w:lineRule="auto"/>
      </w:pPr>
      <w:bookmarkStart w:id="52" w:name="bm_12_2_studioverse_as_a_platform_d63bed"/>
      <w:r>
        <w:rPr>
          <w:b/>
          <w:sz w:val="33"/>
        </w:rPr>
        <w:t xml:space="preserve">12.2 StudioVerse as a Platform of Record</w:t>
      </w:r>
      <w:bookmarkEnd w:id="52"/>
    </w:p>
    <w:p>
      <w:pPr>
        <w:spacing w:after="210" w:lineRule="auto"/>
      </w:pPr>
      <w:r>
        <w:rPr/>
        <w:t xml:space="preserve">The ultimate ambition is for StudioVerse to become the </w:t>
      </w:r>
      <w:r>
        <w:rPr>
          <w:b/>
        </w:rPr>
        <w:t xml:space="preserve">platform of record for professional services delivery</w:t>
      </w:r>
      <w:r>
        <w:rPr>
          <w:rFonts w:eastAsia="Georgia" w:cs="Georgia" w:ascii="Georgia" w:hAnsi="Georgia"/>
        </w:rPr>
        <w:t xml:space="preserve"> — the way Salesforce is the platform of record for sales, and Workday is the platform of record for HR. Every coaching engagement, every training program, every recruitment assessment conducted through a StudioVerse Studio creates a permanent, structured, AI-enriched data record. Across millions of such records, patterns emerge that no individual professional, company, or researcher can see independently.</w:t>
      </w:r>
    </w:p>
    <w:p>
      <w:pPr>
        <w:spacing w:after="210" w:lineRule="auto"/>
      </w:pPr>
      <w:r>
        <w:rPr>
          <w:rFonts w:eastAsia="Georgia" w:cs="Georgia" w:ascii="Georgia" w:hAnsi="Georgia"/>
        </w:rPr>
        <w:t xml:space="preserve">That aggregate intelligence — fully anonymized, ethically governed, and progressively more powerful — is the asset that makes StudioVerse not just a software business but a data business. And data businesses, once they achieve critical mass, become extraordinarily difficult to displace.</w:t>
      </w:r>
    </w:p>
    <w:p>
      <w:pPr>
        <w:spacing w:line="271" w:before="240" w:lineRule="auto"/>
      </w:pPr>
      <w:bookmarkStart w:id="53" w:name="bm_12_3_the_bigger_picture"/>
      <w:r>
        <w:rPr>
          <w:b/>
          <w:sz w:val="33"/>
        </w:rPr>
        <w:t xml:space="preserve">12.3 The Bigger Picture</w:t>
      </w:r>
      <w:bookmarkEnd w:id="53"/>
    </w:p>
    <w:p>
      <w:pPr>
        <w:spacing w:after="210" w:lineRule="auto"/>
      </w:pPr>
      <w:r>
        <w:rPr/>
        <w:t xml:space="preserve">The coaching, training, and recruitment industries are not just software markets. They are </w:t>
      </w:r>
      <w:r>
        <w:rPr>
          <w:b/>
        </w:rPr>
        <w:t xml:space="preserve">human potential markets</w:t>
      </w:r>
      <w:r>
        <w:rPr>
          <w:rFonts w:eastAsia="Georgia" w:cs="Georgia" w:ascii="Georgia" w:hAnsi="Georgia"/>
        </w:rPr>
        <w:t xml:space="preserve"> — and human potential is, arguably, the most valuable resource on the planet. StudioVerse exists to build the infrastructure that ensures that resource is developed, measured, and realized with the rigor, data-driven precision, and scalability it deserves.</w:t>
      </w:r>
    </w:p>
    <w:p>
      <w:pPr>
        <w:spacing w:after="210" w:lineRule="auto"/>
      </w:pPr>
      <w:r>
        <w:rPr/>
        <w:t xml:space="preserve">Every coach who regains 40% of their administrative time is spending that time transforming human lives. Every training program delivered with measurable outcomes is building a more capable workforce. Every recruitment assessment that matches the right candidate to the right role is creating a better professional trajectory for a real person. StudioVerse is the infrastructure behind all of it.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appendix_a_terminology_map_by_studio"/>
      <w:r>
        <w:rPr>
          <w:rFonts w:eastAsia="Georgia" w:cs="Georgia" w:ascii="Georgia" w:hAnsi="Georgia"/>
          <w:b/>
          <w:sz w:val="42"/>
        </w:rPr>
        <w:t xml:space="preserve">Appendix A — Terminology Map by Studio</w:t>
      </w:r>
      <w:bookmarkEnd w:id="5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Generic Role / Term</w:t>
            </w:r>
          </w:p>
        </w:tc>
        <w:tc>
          <w:tcPr>
            <w:tcBorders>
              <w:top w:val="single" w:sz="1" w:space="0" w:color="000000"/>
              <w:left w:val="single" w:sz="1" w:space="0" w:color="000000"/>
              <w:bottom w:val="single" w:sz="1" w:space="0" w:color="000000"/>
            </w:tcBorders>
          </w:tcPr>
          <w:p>
            <w:pPr>
              <w:spacing w:lineRule="auto"/>
            </w:pPr>
            <w:r>
              <w:rPr/>
              <w:t xml:space="preserve">Coaching Studio</w:t>
            </w:r>
          </w:p>
        </w:tc>
        <w:tc>
          <w:tcPr>
            <w:tcBorders>
              <w:top w:val="single" w:sz="1" w:space="0" w:color="000000"/>
              <w:left w:val="single" w:sz="1" w:space="0" w:color="000000"/>
              <w:bottom w:val="single" w:sz="1" w:space="0" w:color="000000"/>
            </w:tcBorders>
          </w:tcPr>
          <w:p>
            <w:pPr>
              <w:spacing w:lineRule="auto"/>
            </w:pPr>
            <w:r>
              <w:rPr/>
              <w:t xml:space="preserve">Training Studio</w:t>
            </w:r>
          </w:p>
        </w:tc>
        <w:tc>
          <w:tcPr>
            <w:tcBorders>
              <w:top w:val="single" w:sz="1" w:space="0" w:color="000000"/>
              <w:left w:val="single" w:sz="1" w:space="0" w:color="000000"/>
              <w:bottom w:val="single" w:sz="1" w:space="0" w:color="000000"/>
            </w:tcBorders>
          </w:tcPr>
          <w:p>
            <w:pPr>
              <w:spacing w:lineRule="auto"/>
            </w:pPr>
            <w:r>
              <w:rPr/>
              <w:t xml:space="preserve">Recruitment Studio</w:t>
            </w:r>
          </w:p>
        </w:tc>
      </w:tr>
      <w:tr>
        <w:trPr>
          <w:cantSplit/>
        </w:trPr>
        <w:tc>
          <w:tcPr>
            <w:tcBorders>
              <w:top w:val="single" w:sz="1" w:space="0" w:color="000000"/>
              <w:bottom w:val="single" w:sz="1" w:space="0" w:color="000000"/>
            </w:tcBorders>
          </w:tcPr>
          <w:p>
            <w:pPr>
              <w:spacing w:lineRule="auto"/>
            </w:pPr>
            <w:r>
              <w:rPr/>
              <w:t xml:space="preserve">Studio</w:t>
            </w:r>
          </w:p>
        </w:tc>
        <w:tc>
          <w:tcPr>
            <w:tcBorders>
              <w:top w:val="single" w:sz="1" w:space="0" w:color="000000"/>
              <w:left w:val="single" w:sz="1" w:space="0" w:color="000000"/>
              <w:bottom w:val="single" w:sz="1" w:space="0" w:color="000000"/>
            </w:tcBorders>
          </w:tcPr>
          <w:p>
            <w:pPr>
              <w:spacing w:lineRule="auto"/>
            </w:pPr>
            <w:r>
              <w:rPr/>
              <w:t xml:space="preserve">Coaching Studio</w:t>
            </w:r>
          </w:p>
        </w:tc>
        <w:tc>
          <w:tcPr>
            <w:tcBorders>
              <w:top w:val="single" w:sz="1" w:space="0" w:color="000000"/>
              <w:left w:val="single" w:sz="1" w:space="0" w:color="000000"/>
              <w:bottom w:val="single" w:sz="1" w:space="0" w:color="000000"/>
            </w:tcBorders>
          </w:tcPr>
          <w:p>
            <w:pPr>
              <w:spacing w:lineRule="auto"/>
            </w:pPr>
            <w:r>
              <w:rPr/>
              <w:t xml:space="preserve">Training Studio</w:t>
            </w:r>
          </w:p>
        </w:tc>
        <w:tc>
          <w:tcPr>
            <w:tcBorders>
              <w:top w:val="single" w:sz="1" w:space="0" w:color="000000"/>
              <w:left w:val="single" w:sz="1" w:space="0" w:color="000000"/>
              <w:bottom w:val="single" w:sz="1" w:space="0" w:color="000000"/>
            </w:tcBorders>
          </w:tcPr>
          <w:p>
            <w:pPr>
              <w:spacing w:lineRule="auto"/>
            </w:pPr>
            <w:r>
              <w:rPr/>
              <w:t xml:space="preserve">Recruitment Studio</w:t>
            </w:r>
          </w:p>
        </w:tc>
      </w:tr>
      <w:tr>
        <w:trPr>
          <w:cantSplit/>
        </w:trPr>
        <w:tc>
          <w:tcPr>
            <w:tcBorders>
              <w:top w:val="single" w:sz="1" w:space="0" w:color="000000"/>
              <w:bottom w:val="single" w:sz="1" w:space="0" w:color="000000"/>
            </w:tcBorders>
          </w:tcPr>
          <w:p>
            <w:pPr>
              <w:spacing w:lineRule="auto"/>
            </w:pPr>
            <w:r>
              <w:rPr/>
              <w:t xml:space="preserve">Professional</w:t>
            </w:r>
          </w:p>
        </w:tc>
        <w:tc>
          <w:tcPr>
            <w:tcBorders>
              <w:top w:val="single" w:sz="1" w:space="0" w:color="000000"/>
              <w:left w:val="single" w:sz="1" w:space="0" w:color="000000"/>
              <w:bottom w:val="single" w:sz="1" w:space="0" w:color="000000"/>
            </w:tcBorders>
          </w:tcPr>
          <w:p>
            <w:pPr>
              <w:spacing w:lineRule="auto"/>
            </w:pPr>
            <w:r>
              <w:rPr/>
              <w:t xml:space="preserve">Coach</w:t>
            </w:r>
          </w:p>
        </w:tc>
        <w:tc>
          <w:tcPr>
            <w:tcBorders>
              <w:top w:val="single" w:sz="1" w:space="0" w:color="000000"/>
              <w:left w:val="single" w:sz="1" w:space="0" w:color="000000"/>
              <w:bottom w:val="single" w:sz="1" w:space="0" w:color="000000"/>
            </w:tcBorders>
          </w:tcPr>
          <w:p>
            <w:pPr>
              <w:spacing w:lineRule="auto"/>
            </w:pPr>
            <w:r>
              <w:rPr/>
              <w:t xml:space="preserve">Trainer / Facilitator</w:t>
            </w:r>
          </w:p>
        </w:tc>
        <w:tc>
          <w:tcPr>
            <w:tcBorders>
              <w:top w:val="single" w:sz="1" w:space="0" w:color="000000"/>
              <w:left w:val="single" w:sz="1" w:space="0" w:color="000000"/>
              <w:bottom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tcBorders>
          </w:tcPr>
          <w:p>
            <w:pPr>
              <w:spacing w:lineRule="auto"/>
            </w:pPr>
            <w:r>
              <w:rPr/>
              <w:t xml:space="preserve">Individual</w:t>
            </w:r>
          </w:p>
        </w:tc>
        <w:tc>
          <w:tcPr>
            <w:tcBorders>
              <w:top w:val="single" w:sz="1" w:space="0" w:color="000000"/>
              <w:left w:val="single" w:sz="1" w:space="0" w:color="000000"/>
              <w:bottom w:val="single" w:sz="1" w:space="0" w:color="000000"/>
            </w:tcBorders>
          </w:tcPr>
          <w:p>
            <w:pPr>
              <w:spacing w:lineRule="auto"/>
            </w:pPr>
            <w:r>
              <w:rPr/>
              <w:t xml:space="preserve">Coachee</w:t>
            </w:r>
          </w:p>
        </w:tc>
        <w:tc>
          <w:tcPr>
            <w:tcBorders>
              <w:top w:val="single" w:sz="1" w:space="0" w:color="000000"/>
              <w:left w:val="single" w:sz="1" w:space="0" w:color="000000"/>
              <w:bottom w:val="single" w:sz="1" w:space="0" w:color="000000"/>
            </w:tcBorders>
          </w:tcPr>
          <w:p>
            <w:pPr>
              <w:spacing w:lineRule="auto"/>
            </w:pPr>
            <w:r>
              <w:rPr/>
              <w:t xml:space="preserve">Learner / Trainee</w:t>
            </w:r>
          </w:p>
        </w:tc>
        <w:tc>
          <w:tcPr>
            <w:tcBorders>
              <w:top w:val="single" w:sz="1" w:space="0" w:color="000000"/>
              <w:left w:val="single" w:sz="1" w:space="0" w:color="000000"/>
              <w:bottom w:val="single" w:sz="1" w:space="0" w:color="000000"/>
            </w:tcBorders>
          </w:tcPr>
          <w:p>
            <w:pPr>
              <w:spacing w:lineRule="auto"/>
            </w:pPr>
            <w:r>
              <w:rPr/>
              <w:t xml:space="preserve">Candidate</w:t>
            </w:r>
          </w:p>
        </w:tc>
      </w:tr>
      <w:tr>
        <w:trPr>
          <w:cantSplit/>
        </w:trPr>
        <w:tc>
          <w:tcPr>
            <w:tcBorders>
              <w:top w:val="single" w:sz="1" w:space="0" w:color="000000"/>
              <w:bottom w:val="single" w:sz="1" w:space="0" w:color="000000"/>
            </w:tcBorders>
          </w:tcPr>
          <w:p>
            <w:pPr>
              <w:spacing w:lineRule="auto"/>
            </w:pPr>
            <w:r>
              <w:rPr/>
              <w:t xml:space="preserve">Company</w:t>
            </w:r>
          </w:p>
        </w:tc>
        <w:tc>
          <w:tcPr>
            <w:tcBorders>
              <w:top w:val="single" w:sz="1" w:space="0" w:color="000000"/>
              <w:left w:val="single" w:sz="1" w:space="0" w:color="000000"/>
              <w:bottom w:val="single" w:sz="1" w:space="0" w:color="000000"/>
            </w:tcBorders>
          </w:tcPr>
          <w:p>
            <w:pPr>
              <w:spacing w:lineRule="auto"/>
            </w:pPr>
            <w:r>
              <w:rPr/>
              <w:t xml:space="preserve">Coaching Firm</w:t>
            </w:r>
          </w:p>
        </w:tc>
        <w:tc>
          <w:tcPr>
            <w:tcBorders>
              <w:top w:val="single" w:sz="1" w:space="0" w:color="000000"/>
              <w:left w:val="single" w:sz="1" w:space="0" w:color="000000"/>
              <w:bottom w:val="single" w:sz="1" w:space="0" w:color="000000"/>
            </w:tcBorders>
          </w:tcPr>
          <w:p>
            <w:pPr>
              <w:spacing w:lineRule="auto"/>
            </w:pPr>
            <w:r>
              <w:rPr/>
              <w:t xml:space="preserve">Training Company</w:t>
            </w:r>
          </w:p>
        </w:tc>
        <w:tc>
          <w:tcPr>
            <w:tcBorders>
              <w:top w:val="single" w:sz="1" w:space="0" w:color="000000"/>
              <w:left w:val="single" w:sz="1" w:space="0" w:color="000000"/>
              <w:bottom w:val="single" w:sz="1" w:space="0" w:color="000000"/>
            </w:tcBorders>
          </w:tcPr>
          <w:p>
            <w:pPr>
              <w:spacing w:lineRule="auto"/>
            </w:pPr>
            <w:r>
              <w:rPr/>
              <w:t xml:space="preserve">Recruitment Agency</w:t>
            </w:r>
          </w:p>
        </w:tc>
      </w:tr>
      <w:tr>
        <w:trPr>
          <w:cantSplit/>
        </w:trPr>
        <w:tc>
          <w:tcPr>
            <w:tcBorders>
              <w:top w:val="single" w:sz="1" w:space="0" w:color="000000"/>
              <w:bottom w:val="single" w:sz="1" w:space="0" w:color="000000"/>
            </w:tcBorders>
          </w:tcPr>
          <w:p>
            <w:pPr>
              <w:spacing w:lineRule="auto"/>
            </w:pPr>
            <w:r>
              <w:rPr/>
              <w:t xml:space="preserve">Program</w:t>
            </w:r>
          </w:p>
        </w:tc>
        <w:tc>
          <w:tcPr>
            <w:tcBorders>
              <w:top w:val="single" w:sz="1" w:space="0" w:color="000000"/>
              <w:left w:val="single" w:sz="1" w:space="0" w:color="000000"/>
              <w:bottom w:val="single" w:sz="1" w:space="0" w:color="000000"/>
            </w:tcBorders>
          </w:tcPr>
          <w:p>
            <w:pPr>
              <w:spacing w:lineRule="auto"/>
            </w:pPr>
            <w:r>
              <w:rPr/>
              <w:t xml:space="preserve">Coaching Program</w:t>
            </w:r>
          </w:p>
        </w:tc>
        <w:tc>
          <w:tcPr>
            <w:tcBorders>
              <w:top w:val="single" w:sz="1" w:space="0" w:color="000000"/>
              <w:left w:val="single" w:sz="1" w:space="0" w:color="000000"/>
              <w:bottom w:val="single" w:sz="1" w:space="0" w:color="000000"/>
            </w:tcBorders>
          </w:tcPr>
          <w:p>
            <w:pPr>
              <w:spacing w:lineRule="auto"/>
            </w:pPr>
            <w:r>
              <w:rPr/>
              <w:t xml:space="preserve">Training Course</w:t>
            </w:r>
          </w:p>
        </w:tc>
        <w:tc>
          <w:tcPr>
            <w:tcBorders>
              <w:top w:val="single" w:sz="1" w:space="0" w:color="000000"/>
              <w:left w:val="single" w:sz="1" w:space="0" w:color="000000"/>
              <w:bottom w:val="single" w:sz="1" w:space="0" w:color="000000"/>
            </w:tcBorders>
          </w:tcPr>
          <w:p>
            <w:pPr>
              <w:spacing w:lineRule="auto"/>
            </w:pPr>
            <w:r>
              <w:rPr/>
              <w:t xml:space="preserve">Onboarding / Assessment Track</w:t>
            </w:r>
          </w:p>
        </w:tc>
      </w:tr>
      <w:tr>
        <w:trPr>
          <w:cantSplit/>
        </w:trPr>
        <w:tc>
          <w:tcPr>
            <w:tcBorders>
              <w:top w:val="single" w:sz="1" w:space="0" w:color="000000"/>
              <w:bottom w:val="single" w:sz="1" w:space="0" w:color="000000"/>
            </w:tcBorders>
          </w:tcPr>
          <w:p>
            <w:pPr>
              <w:spacing w:lineRule="auto"/>
            </w:pPr>
            <w:r>
              <w:rPr/>
              <w:t xml:space="preserve">Tool</w:t>
            </w:r>
          </w:p>
        </w:tc>
        <w:tc>
          <w:tcPr>
            <w:tcBorders>
              <w:top w:val="single" w:sz="1" w:space="0" w:color="000000"/>
              <w:left w:val="single" w:sz="1" w:space="0" w:color="000000"/>
              <w:bottom w:val="single" w:sz="1" w:space="0" w:color="000000"/>
            </w:tcBorders>
          </w:tcPr>
          <w:p>
            <w:pPr>
              <w:spacing w:lineRule="auto"/>
            </w:pPr>
            <w:r>
              <w:rPr/>
              <w:t xml:space="preserve">Assessment</w:t>
            </w:r>
          </w:p>
        </w:tc>
        <w:tc>
          <w:tcPr>
            <w:tcBorders>
              <w:top w:val="single" w:sz="1" w:space="0" w:color="000000"/>
              <w:left w:val="single" w:sz="1" w:space="0" w:color="000000"/>
              <w:bottom w:val="single" w:sz="1" w:space="0" w:color="000000"/>
            </w:tcBorders>
          </w:tcPr>
          <w:p>
            <w:pPr>
              <w:spacing w:lineRule="auto"/>
            </w:pPr>
            <w:r>
              <w:rPr/>
              <w:t xml:space="preserve">Skills Evaluation</w:t>
            </w:r>
          </w:p>
        </w:tc>
        <w:tc>
          <w:tcPr>
            <w:tcBorders>
              <w:top w:val="single" w:sz="1" w:space="0" w:color="000000"/>
              <w:left w:val="single" w:sz="1" w:space="0" w:color="000000"/>
              <w:bottom w:val="single" w:sz="1" w:space="0" w:color="000000"/>
            </w:tcBorders>
          </w:tcPr>
          <w:p>
            <w:pPr>
              <w:spacing w:lineRule="auto"/>
            </w:pPr>
            <w:r>
              <w:rPr/>
              <w:t xml:space="preserve">Candidate Assessment</w:t>
            </w:r>
          </w:p>
        </w:tc>
      </w:tr>
      <w:tr>
        <w:trPr>
          <w:cantSplit/>
        </w:trPr>
        <w:tc>
          <w:tcPr>
            <w:tcBorders>
              <w:top w:val="single" w:sz="1" w:space="0" w:color="000000"/>
              <w:bottom w:val="single" w:sz="1" w:space="0" w:color="000000"/>
            </w:tcBorders>
          </w:tcPr>
          <w:p>
            <w:pPr>
              <w:spacing w:lineRule="auto"/>
            </w:pPr>
            <w:r>
              <w:rPr/>
              <w:t xml:space="preserve">Cohort</w:t>
            </w:r>
          </w:p>
        </w:tc>
        <w:tc>
          <w:tcPr>
            <w:tcBorders>
              <w:top w:val="single" w:sz="1" w:space="0" w:color="000000"/>
              <w:left w:val="single" w:sz="1" w:space="0" w:color="000000"/>
              <w:bottom w:val="single" w:sz="1" w:space="0" w:color="000000"/>
            </w:tcBorders>
          </w:tcPr>
          <w:p>
            <w:pPr>
              <w:spacing w:lineRule="auto"/>
            </w:pPr>
            <w:r>
              <w:rPr/>
              <w:t xml:space="preserve">Coaching Cohort</w:t>
            </w:r>
          </w:p>
        </w:tc>
        <w:tc>
          <w:tcPr>
            <w:tcBorders>
              <w:top w:val="single" w:sz="1" w:space="0" w:color="000000"/>
              <w:left w:val="single" w:sz="1" w:space="0" w:color="000000"/>
              <w:bottom w:val="single" w:sz="1" w:space="0" w:color="000000"/>
            </w:tcBorders>
          </w:tcPr>
          <w:p>
            <w:pPr>
              <w:spacing w:lineRule="auto"/>
            </w:pPr>
            <w:r>
              <w:rPr/>
              <w:t xml:space="preserve">Training Batch</w:t>
            </w:r>
          </w:p>
        </w:tc>
        <w:tc>
          <w:tcPr>
            <w:tcBorders>
              <w:top w:val="single" w:sz="1" w:space="0" w:color="000000"/>
              <w:left w:val="single" w:sz="1" w:space="0" w:color="000000"/>
              <w:bottom w:val="single" w:sz="1" w:space="0" w:color="000000"/>
            </w:tcBorders>
          </w:tcPr>
          <w:p>
            <w:pPr>
              <w:spacing w:lineRule="auto"/>
            </w:pPr>
            <w:r>
              <w:rPr/>
              <w:t xml:space="preserve">Candidate Pool</w:t>
            </w:r>
          </w:p>
        </w:tc>
      </w:tr>
      <w:tr>
        <w:trPr>
          <w:cantSplit/>
        </w:trPr>
        <w:tc>
          <w:tcPr>
            <w:tcBorders>
              <w:top w:val="single" w:sz="1" w:space="0" w:color="000000"/>
              <w:bottom w:val="single" w:sz="1" w:space="0" w:color="000000"/>
            </w:tcBorders>
          </w:tcPr>
          <w:p>
            <w:pPr>
              <w:spacing w:lineRule="auto"/>
            </w:pPr>
            <w:r>
              <w:rPr/>
              <w:t xml:space="preserve">Report</w:t>
            </w:r>
          </w:p>
        </w:tc>
        <w:tc>
          <w:tcPr>
            <w:tcBorders>
              <w:top w:val="single" w:sz="1" w:space="0" w:color="000000"/>
              <w:left w:val="single" w:sz="1" w:space="0" w:color="000000"/>
              <w:bottom w:val="single" w:sz="1" w:space="0" w:color="000000"/>
            </w:tcBorders>
          </w:tcPr>
          <w:p>
            <w:pPr>
              <w:spacing w:lineRule="auto"/>
            </w:pPr>
            <w:r>
              <w:rPr/>
              <w:t xml:space="preserve">Growth Report</w:t>
            </w:r>
          </w:p>
        </w:tc>
        <w:tc>
          <w:tcPr>
            <w:tcBorders>
              <w:top w:val="single" w:sz="1" w:space="0" w:color="000000"/>
              <w:left w:val="single" w:sz="1" w:space="0" w:color="000000"/>
              <w:bottom w:val="single" w:sz="1" w:space="0" w:color="000000"/>
            </w:tcBorders>
          </w:tcPr>
          <w:p>
            <w:pPr>
              <w:spacing w:lineRule="auto"/>
            </w:pPr>
            <w:r>
              <w:rPr/>
              <w:t xml:space="preserve">Training Completion Report</w:t>
            </w:r>
          </w:p>
        </w:tc>
        <w:tc>
          <w:tcPr>
            <w:tcBorders>
              <w:top w:val="single" w:sz="1" w:space="0" w:color="000000"/>
              <w:left w:val="single" w:sz="1" w:space="0" w:color="000000"/>
              <w:bottom w:val="single" w:sz="1" w:space="0" w:color="000000"/>
            </w:tcBorders>
          </w:tcPr>
          <w:p>
            <w:pPr>
              <w:spacing w:lineRule="auto"/>
            </w:pPr>
            <w:r>
              <w:rPr/>
              <w:t xml:space="preserve">Candidate Evaluation Report</w:t>
            </w:r>
          </w:p>
        </w:tc>
      </w:tr>
      <w:tr>
        <w:trPr>
          <w:cantSplit/>
        </w:trPr>
        <w:tc>
          <w:tcPr>
            <w:tcBorders>
              <w:top w:val="single" w:sz="1" w:space="0" w:color="000000"/>
              <w:bottom w:val="single" w:sz="1" w:space="0" w:color="000000"/>
            </w:tcBorders>
          </w:tcPr>
          <w:p>
            <w:pPr>
              <w:spacing w:lineRule="auto"/>
            </w:pPr>
            <w:r>
              <w:rPr/>
              <w:t xml:space="preserve">Event</w:t>
            </w:r>
          </w:p>
        </w:tc>
        <w:tc>
          <w:tcPr>
            <w:tcBorders>
              <w:top w:val="single" w:sz="1" w:space="0" w:color="000000"/>
              <w:left w:val="single" w:sz="1" w:space="0" w:color="000000"/>
              <w:bottom w:val="single" w:sz="1" w:space="0" w:color="000000"/>
            </w:tcBorders>
          </w:tcPr>
          <w:p>
            <w:pPr>
              <w:spacing w:lineRule="auto"/>
            </w:pPr>
            <w:r>
              <w:rPr/>
              <w:t xml:space="preserve">Coaching Workshop</w:t>
            </w:r>
          </w:p>
        </w:tc>
        <w:tc>
          <w:tcPr>
            <w:tcBorders>
              <w:top w:val="single" w:sz="1" w:space="0" w:color="000000"/>
              <w:left w:val="single" w:sz="1" w:space="0" w:color="000000"/>
              <w:bottom w:val="single" w:sz="1" w:space="0" w:color="000000"/>
            </w:tcBorders>
          </w:tcPr>
          <w:p>
            <w:pPr>
              <w:spacing w:lineRule="auto"/>
            </w:pPr>
            <w:r>
              <w:rPr/>
              <w:t xml:space="preserve">Training Session / Webinar</w:t>
            </w:r>
          </w:p>
        </w:tc>
        <w:tc>
          <w:tcPr>
            <w:tcBorders>
              <w:top w:val="single" w:sz="1" w:space="0" w:color="000000"/>
              <w:left w:val="single" w:sz="1" w:space="0" w:color="000000"/>
              <w:bottom w:val="single" w:sz="1" w:space="0" w:color="000000"/>
            </w:tcBorders>
          </w:tcPr>
          <w:p>
            <w:pPr>
              <w:spacing w:lineRule="auto"/>
            </w:pPr>
            <w:r>
              <w:rPr/>
              <w:t xml:space="preserve">Recruitment Drive / Info Session</w:t>
            </w:r>
          </w:p>
        </w:tc>
      </w:tr>
      <w:tr>
        <w:trPr>
          <w:cantSplit/>
        </w:trPr>
        <w:tc>
          <w:tcPr>
            <w:tcBorders>
              <w:top w:val="single" w:sz="1" w:space="0" w:color="000000"/>
              <w:bottom w:val="single" w:sz="1" w:space="0" w:color="000000"/>
            </w:tcBorders>
          </w:tcPr>
          <w:p>
            <w:pPr>
              <w:spacing w:lineRule="auto"/>
            </w:pPr>
            <w:r>
              <w:rPr/>
              <w:t xml:space="preserve">Assignment</w:t>
            </w:r>
          </w:p>
        </w:tc>
        <w:tc>
          <w:tcPr>
            <w:tcBorders>
              <w:top w:val="single" w:sz="1" w:space="0" w:color="000000"/>
              <w:left w:val="single" w:sz="1" w:space="0" w:color="000000"/>
              <w:bottom w:val="single" w:sz="1" w:space="0" w:color="000000"/>
            </w:tcBorders>
          </w:tcPr>
          <w:p>
            <w:pPr>
              <w:spacing w:lineRule="auto"/>
            </w:pPr>
            <w:r>
              <w:rPr/>
              <w:t xml:space="preserve">Coaching Assignment</w:t>
            </w:r>
          </w:p>
        </w:tc>
        <w:tc>
          <w:tcPr>
            <w:tcBorders>
              <w:top w:val="single" w:sz="1" w:space="0" w:color="000000"/>
              <w:left w:val="single" w:sz="1" w:space="0" w:color="000000"/>
              <w:bottom w:val="single" w:sz="1" w:space="0" w:color="000000"/>
            </w:tcBorders>
          </w:tcPr>
          <w:p>
            <w:pPr>
              <w:spacing w:lineRule="auto"/>
            </w:pPr>
            <w:r>
              <w:rPr/>
              <w:t xml:space="preserve">Learning Task</w:t>
            </w:r>
          </w:p>
        </w:tc>
        <w:tc>
          <w:tcPr>
            <w:tcBorders>
              <w:top w:val="single" w:sz="1" w:space="0" w:color="000000"/>
              <w:left w:val="single" w:sz="1" w:space="0" w:color="000000"/>
              <w:bottom w:val="single" w:sz="1" w:space="0" w:color="000000"/>
            </w:tcBorders>
          </w:tcPr>
          <w:p>
            <w:pPr>
              <w:spacing w:lineRule="auto"/>
            </w:pPr>
            <w:r>
              <w:rPr/>
              <w:t xml:space="preserve">Assessment Task</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5" w:name="appendix_b_future_studio_candidates"/>
      <w:r>
        <w:rPr>
          <w:rFonts w:eastAsia="Georgia" w:cs="Georgia" w:ascii="Georgia" w:hAnsi="Georgia"/>
          <w:b/>
          <w:sz w:val="42"/>
        </w:rPr>
        <w:t xml:space="preserve">Appendix B — Future Studio Candidates</w:t>
      </w:r>
      <w:bookmarkEnd w:id="55"/>
    </w:p>
    <w:p>
      <w:pPr>
        <w:spacing w:after="210" w:lineRule="auto"/>
      </w:pPr>
      <w:r>
        <w:rPr>
          <w:rFonts w:eastAsia="Georgia" w:cs="Georgia" w:ascii="Georgia" w:hAnsi="Georgia"/>
        </w:rPr>
        <w:t xml:space="preserve">The following professional service verticals are candidates for future StudioVerse Studios, each following the identical SuperAdmin → Company → Professional → Individual delivery model:</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Future Studio</w:t>
            </w:r>
          </w:p>
        </w:tc>
        <w:tc>
          <w:tcPr>
            <w:tcBorders>
              <w:top w:val="single" w:sz="1" w:space="0" w:color="000000"/>
              <w:left w:val="single" w:sz="1" w:space="0" w:color="000000"/>
              <w:bottom w:val="single" w:sz="1" w:space="0" w:color="000000"/>
            </w:tcBorders>
          </w:tcPr>
          <w:p>
            <w:pPr>
              <w:spacing w:lineRule="auto"/>
            </w:pPr>
            <w:r>
              <w:rPr/>
              <w:t xml:space="preserve">Vertical</w:t>
            </w:r>
          </w:p>
        </w:tc>
        <w:tc>
          <w:tcPr>
            <w:tcBorders>
              <w:top w:val="single" w:sz="1" w:space="0" w:color="000000"/>
              <w:left w:val="single" w:sz="1" w:space="0" w:color="000000"/>
              <w:bottom w:val="single" w:sz="1" w:space="0" w:color="000000"/>
            </w:tcBorders>
          </w:tcPr>
          <w:p>
            <w:pPr>
              <w:spacing w:lineRule="auto"/>
            </w:pPr>
            <w:r>
              <w:rPr/>
              <w:t xml:space="preserve">Professional</w:t>
            </w:r>
          </w:p>
        </w:tc>
        <w:tc>
          <w:tcPr>
            <w:tcBorders>
              <w:top w:val="single" w:sz="1" w:space="0" w:color="000000"/>
              <w:left w:val="single" w:sz="1" w:space="0" w:color="000000"/>
              <w:bottom w:val="single" w:sz="1" w:space="0" w:color="000000"/>
            </w:tcBorders>
          </w:tcPr>
          <w:p>
            <w:pPr>
              <w:spacing w:lineRule="auto"/>
            </w:pPr>
            <w:r>
              <w:rPr/>
              <w:t xml:space="preserve">Individual</w:t>
            </w:r>
          </w:p>
        </w:tc>
      </w:tr>
      <w:tr>
        <w:trPr>
          <w:cantSplit/>
        </w:trPr>
        <w:tc>
          <w:tcPr>
            <w:tcBorders>
              <w:top w:val="single" w:sz="1" w:space="0" w:color="000000"/>
              <w:bottom w:val="single" w:sz="1" w:space="0" w:color="000000"/>
            </w:tcBorders>
          </w:tcPr>
          <w:p>
            <w:pPr>
              <w:spacing w:lineRule="auto"/>
            </w:pPr>
            <w:r>
              <w:rPr/>
              <w:t xml:space="preserve">Mentoring Studio</w:t>
            </w:r>
          </w:p>
        </w:tc>
        <w:tc>
          <w:tcPr>
            <w:tcBorders>
              <w:top w:val="single" w:sz="1" w:space="0" w:color="000000"/>
              <w:left w:val="single" w:sz="1" w:space="0" w:color="000000"/>
              <w:bottom w:val="single" w:sz="1" w:space="0" w:color="000000"/>
            </w:tcBorders>
          </w:tcPr>
          <w:p>
            <w:pPr>
              <w:spacing w:lineRule="auto"/>
            </w:pPr>
            <w:r>
              <w:rPr/>
              <w:t xml:space="preserve">Corporate Mentorship Programs</w:t>
            </w:r>
          </w:p>
        </w:tc>
        <w:tc>
          <w:tcPr>
            <w:tcBorders>
              <w:top w:val="single" w:sz="1" w:space="0" w:color="000000"/>
              <w:left w:val="single" w:sz="1" w:space="0" w:color="000000"/>
              <w:bottom w:val="single" w:sz="1" w:space="0" w:color="000000"/>
            </w:tcBorders>
          </w:tcPr>
          <w:p>
            <w:pPr>
              <w:spacing w:lineRule="auto"/>
            </w:pPr>
            <w:r>
              <w:rPr/>
              <w:t xml:space="preserve">Mentor</w:t>
            </w:r>
          </w:p>
        </w:tc>
        <w:tc>
          <w:tcPr>
            <w:tcBorders>
              <w:top w:val="single" w:sz="1" w:space="0" w:color="000000"/>
              <w:left w:val="single" w:sz="1" w:space="0" w:color="000000"/>
              <w:bottom w:val="single" w:sz="1" w:space="0" w:color="000000"/>
            </w:tcBorders>
          </w:tcPr>
          <w:p>
            <w:pPr>
              <w:spacing w:lineRule="auto"/>
            </w:pPr>
            <w:r>
              <w:rPr/>
              <w:t xml:space="preserve">Mentee</w:t>
            </w:r>
          </w:p>
        </w:tc>
      </w:tr>
      <w:tr>
        <w:trPr>
          <w:cantSplit/>
        </w:trPr>
        <w:tc>
          <w:tcPr>
            <w:tcBorders>
              <w:top w:val="single" w:sz="1" w:space="0" w:color="000000"/>
              <w:bottom w:val="single" w:sz="1" w:space="0" w:color="000000"/>
            </w:tcBorders>
          </w:tcPr>
          <w:p>
            <w:pPr>
              <w:spacing w:lineRule="auto"/>
            </w:pPr>
            <w:r>
              <w:rPr/>
              <w:t xml:space="preserve">Wellness Studio</w:t>
            </w:r>
          </w:p>
        </w:tc>
        <w:tc>
          <w:tcPr>
            <w:tcBorders>
              <w:top w:val="single" w:sz="1" w:space="0" w:color="000000"/>
              <w:left w:val="single" w:sz="1" w:space="0" w:color="000000"/>
              <w:bottom w:val="single" w:sz="1" w:space="0" w:color="000000"/>
            </w:tcBorders>
          </w:tcPr>
          <w:p>
            <w:pPr>
              <w:spacing w:lineRule="auto"/>
            </w:pPr>
            <w:r>
              <w:rPr/>
              <w:t xml:space="preserve">Health, Therapy, Counseling</w:t>
            </w:r>
          </w:p>
        </w:tc>
        <w:tc>
          <w:tcPr>
            <w:tcBorders>
              <w:top w:val="single" w:sz="1" w:space="0" w:color="000000"/>
              <w:left w:val="single" w:sz="1" w:space="0" w:color="000000"/>
              <w:bottom w:val="single" w:sz="1" w:space="0" w:color="000000"/>
            </w:tcBorders>
          </w:tcPr>
          <w:p>
            <w:pPr>
              <w:spacing w:lineRule="auto"/>
            </w:pPr>
            <w:r>
              <w:rPr/>
              <w:t xml:space="preserve">Therapist / Nutritionist / Wellness Coach</w:t>
            </w:r>
          </w:p>
        </w:tc>
        <w:tc>
          <w:tcPr>
            <w:tcBorders>
              <w:top w:val="single" w:sz="1" w:space="0" w:color="000000"/>
              <w:left w:val="single" w:sz="1" w:space="0" w:color="000000"/>
              <w:bottom w:val="single" w:sz="1" w:space="0" w:color="000000"/>
            </w:tcBorders>
          </w:tcPr>
          <w:p>
            <w:pPr>
              <w:spacing w:lineRule="auto"/>
            </w:pPr>
            <w:r>
              <w:rPr/>
              <w:t xml:space="preserve">Client / Patient</w:t>
            </w:r>
          </w:p>
        </w:tc>
      </w:tr>
      <w:tr>
        <w:trPr>
          <w:cantSplit/>
        </w:trPr>
        <w:tc>
          <w:tcPr>
            <w:tcBorders>
              <w:top w:val="single" w:sz="1" w:space="0" w:color="000000"/>
              <w:bottom w:val="single" w:sz="1" w:space="0" w:color="000000"/>
            </w:tcBorders>
          </w:tcPr>
          <w:p>
            <w:pPr>
              <w:spacing w:lineRule="auto"/>
            </w:pPr>
            <w:r>
              <w:rPr/>
              <w:t xml:space="preserve">Consulting Studio</w:t>
            </w:r>
          </w:p>
        </w:tc>
        <w:tc>
          <w:tcPr>
            <w:tcBorders>
              <w:top w:val="single" w:sz="1" w:space="0" w:color="000000"/>
              <w:left w:val="single" w:sz="1" w:space="0" w:color="000000"/>
              <w:bottom w:val="single" w:sz="1" w:space="0" w:color="000000"/>
            </w:tcBorders>
          </w:tcPr>
          <w:p>
            <w:pPr>
              <w:spacing w:lineRule="auto"/>
            </w:pPr>
            <w:r>
              <w:rPr/>
              <w:t xml:space="preserve">Independent Advisory &amp; Consulting</w:t>
            </w:r>
          </w:p>
        </w:tc>
        <w:tc>
          <w:tcPr>
            <w:tcBorders>
              <w:top w:val="single" w:sz="1" w:space="0" w:color="000000"/>
              <w:left w:val="single" w:sz="1" w:space="0" w:color="000000"/>
              <w:bottom w:val="single" w:sz="1" w:space="0" w:color="000000"/>
            </w:tcBorders>
          </w:tcPr>
          <w:p>
            <w:pPr>
              <w:spacing w:lineRule="auto"/>
            </w:pPr>
            <w:r>
              <w:rPr/>
              <w:t xml:space="preserve">Consultant</w:t>
            </w:r>
          </w:p>
        </w:tc>
        <w:tc>
          <w:tcPr>
            <w:tcBorders>
              <w:top w:val="single" w:sz="1" w:space="0" w:color="000000"/>
              <w:left w:val="single" w:sz="1" w:space="0" w:color="000000"/>
              <w:bottom w:val="single" w:sz="1" w:space="0" w:color="000000"/>
            </w:tcBorders>
          </w:tcPr>
          <w:p>
            <w:pPr>
              <w:spacing w:lineRule="auto"/>
            </w:pPr>
            <w:r>
              <w:rPr/>
              <w:t xml:space="preserve">Client</w:t>
            </w:r>
          </w:p>
        </w:tc>
      </w:tr>
      <w:tr>
        <w:trPr>
          <w:cantSplit/>
        </w:trPr>
        <w:tc>
          <w:tcPr>
            <w:tcBorders>
              <w:top w:val="single" w:sz="1" w:space="0" w:color="000000"/>
              <w:bottom w:val="single" w:sz="1" w:space="0" w:color="000000"/>
            </w:tcBorders>
          </w:tcPr>
          <w:p>
            <w:pPr>
              <w:spacing w:lineRule="auto"/>
            </w:pPr>
            <w:r>
              <w:rPr/>
              <w:t xml:space="preserve">Teaching Studio</w:t>
            </w:r>
          </w:p>
        </w:tc>
        <w:tc>
          <w:tcPr>
            <w:tcBorders>
              <w:top w:val="single" w:sz="1" w:space="0" w:color="000000"/>
              <w:left w:val="single" w:sz="1" w:space="0" w:color="000000"/>
              <w:bottom w:val="single" w:sz="1" w:space="0" w:color="000000"/>
            </w:tcBorders>
          </w:tcPr>
          <w:p>
            <w:pPr>
              <w:spacing w:lineRule="auto"/>
            </w:pPr>
            <w:r>
              <w:rPr/>
              <w:t xml:space="preserve">Tutoring &amp; Academic Coaching</w:t>
            </w:r>
          </w:p>
        </w:tc>
        <w:tc>
          <w:tcPr>
            <w:tcBorders>
              <w:top w:val="single" w:sz="1" w:space="0" w:color="000000"/>
              <w:left w:val="single" w:sz="1" w:space="0" w:color="000000"/>
              <w:bottom w:val="single" w:sz="1" w:space="0" w:color="000000"/>
            </w:tcBorders>
          </w:tcPr>
          <w:p>
            <w:pPr>
              <w:spacing w:lineRule="auto"/>
            </w:pPr>
            <w:r>
              <w:rPr/>
              <w:t xml:space="preserve">Tutor / Educator</w:t>
            </w:r>
          </w:p>
        </w:tc>
        <w:tc>
          <w:tcPr>
            <w:tcBorders>
              <w:top w:val="single" w:sz="1" w:space="0" w:color="000000"/>
              <w:left w:val="single" w:sz="1" w:space="0" w:color="000000"/>
              <w:bottom w:val="single" w:sz="1" w:space="0" w:color="000000"/>
            </w:tcBorders>
          </w:tcPr>
          <w:p>
            <w:pPr>
              <w:spacing w:lineRule="auto"/>
            </w:pPr>
            <w:r>
              <w:rPr/>
              <w:t xml:space="preserve">Student</w:t>
            </w:r>
          </w:p>
        </w:tc>
      </w:tr>
      <w:tr>
        <w:trPr>
          <w:cantSplit/>
        </w:trPr>
        <w:tc>
          <w:tcPr>
            <w:tcBorders>
              <w:top w:val="single" w:sz="1" w:space="0" w:color="000000"/>
              <w:bottom w:val="single" w:sz="1" w:space="0" w:color="000000"/>
            </w:tcBorders>
          </w:tcPr>
          <w:p>
            <w:pPr>
              <w:spacing w:lineRule="auto"/>
            </w:pPr>
            <w:r>
              <w:rPr/>
              <w:t xml:space="preserve">Sales Studio</w:t>
            </w:r>
          </w:p>
        </w:tc>
        <w:tc>
          <w:tcPr>
            <w:tcBorders>
              <w:top w:val="single" w:sz="1" w:space="0" w:color="000000"/>
              <w:left w:val="single" w:sz="1" w:space="0" w:color="000000"/>
              <w:bottom w:val="single" w:sz="1" w:space="0" w:color="000000"/>
            </w:tcBorders>
          </w:tcPr>
          <w:p>
            <w:pPr>
              <w:spacing w:lineRule="auto"/>
            </w:pPr>
            <w:r>
              <w:rPr/>
              <w:t xml:space="preserve">Sales Enablement &amp; Rep Training</w:t>
            </w:r>
          </w:p>
        </w:tc>
        <w:tc>
          <w:tcPr>
            <w:tcBorders>
              <w:top w:val="single" w:sz="1" w:space="0" w:color="000000"/>
              <w:left w:val="single" w:sz="1" w:space="0" w:color="000000"/>
              <w:bottom w:val="single" w:sz="1" w:space="0" w:color="000000"/>
            </w:tcBorders>
          </w:tcPr>
          <w:p>
            <w:pPr>
              <w:spacing w:lineRule="auto"/>
            </w:pPr>
            <w:r>
              <w:rPr/>
              <w:t xml:space="preserve">Sales Trainer</w:t>
            </w:r>
          </w:p>
        </w:tc>
        <w:tc>
          <w:tcPr>
            <w:tcBorders>
              <w:top w:val="single" w:sz="1" w:space="0" w:color="000000"/>
              <w:left w:val="single" w:sz="1" w:space="0" w:color="000000"/>
              <w:bottom w:val="single" w:sz="1" w:space="0" w:color="000000"/>
            </w:tcBorders>
          </w:tcPr>
          <w:p>
            <w:pPr>
              <w:spacing w:lineRule="auto"/>
            </w:pPr>
            <w:r>
              <w:rPr/>
              <w:t xml:space="preserve">Sales Rep</w:t>
            </w:r>
          </w:p>
        </w:tc>
      </w:tr>
      <w:tr>
        <w:trPr>
          <w:cantSplit/>
        </w:trPr>
        <w:tc>
          <w:tcPr>
            <w:tcBorders>
              <w:top w:val="single" w:sz="1" w:space="0" w:color="000000"/>
              <w:bottom w:val="single" w:sz="1" w:space="0" w:color="000000"/>
            </w:tcBorders>
          </w:tcPr>
          <w:p>
            <w:pPr>
              <w:spacing w:lineRule="auto"/>
            </w:pPr>
            <w:r>
              <w:rPr/>
              <w:t xml:space="preserve">Legal Studio</w:t>
            </w:r>
          </w:p>
        </w:tc>
        <w:tc>
          <w:tcPr>
            <w:tcBorders>
              <w:top w:val="single" w:sz="1" w:space="0" w:color="000000"/>
              <w:left w:val="single" w:sz="1" w:space="0" w:color="000000"/>
              <w:bottom w:val="single" w:sz="1" w:space="0" w:color="000000"/>
            </w:tcBorders>
          </w:tcPr>
          <w:p>
            <w:pPr>
              <w:spacing w:lineRule="auto"/>
            </w:pPr>
            <w:r>
              <w:rPr/>
              <w:t xml:space="preserve">Legal Training &amp; Compliance</w:t>
            </w:r>
          </w:p>
        </w:tc>
        <w:tc>
          <w:tcPr>
            <w:tcBorders>
              <w:top w:val="single" w:sz="1" w:space="0" w:color="000000"/>
              <w:left w:val="single" w:sz="1" w:space="0" w:color="000000"/>
              <w:bottom w:val="single" w:sz="1" w:space="0" w:color="000000"/>
            </w:tcBorders>
          </w:tcPr>
          <w:p>
            <w:pPr>
              <w:spacing w:lineRule="auto"/>
            </w:pPr>
            <w:r>
              <w:rPr/>
              <w:t xml:space="preserve">Legal Trainer / Compliance Officer</w:t>
            </w:r>
          </w:p>
        </w:tc>
        <w:tc>
          <w:tcPr>
            <w:tcBorders>
              <w:top w:val="single" w:sz="1" w:space="0" w:color="000000"/>
              <w:left w:val="single" w:sz="1" w:space="0" w:color="000000"/>
              <w:bottom w:val="single" w:sz="1" w:space="0" w:color="000000"/>
            </w:tcBorders>
          </w:tcPr>
          <w:p>
            <w:pPr>
              <w:spacing w:lineRule="auto"/>
            </w:pPr>
            <w:r>
              <w:rPr/>
              <w:t xml:space="preserve">Associate / Trainee</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after="210" w:lineRule="auto"/>
      </w:pPr>
      <w:r>
        <w:rPr>
          <w:i/>
        </w:rPr>
        <w:t xml:space="preserve">Document End</w:t>
      </w:r>
    </w:p>
    <w:p>
      <w:pPr>
        <w:spacing w:after="210" w:lineRule="auto"/>
      </w:pPr>
      <w:r>
        <w:rPr>
          <w:b/>
        </w:rPr>
        <w:t xml:space="preserve">StudioVerse — One Engine. Infinite Studios.</w:t>
      </w:r>
    </w:p>
    <w:p>
      <w:pPr>
        <w:spacing w:after="210" w:lineRule="auto"/>
      </w:pPr>
      <w:r>
        <w:rPr>
          <w:i/>
        </w:rPr>
        <w:t xml:space="preserve">For product, engineering, and partnership inquiries: </w:t>
      </w:r>
      <w:hyperlink r:id="rId9">
        <w:r>
          <w:rPr>
            <w:rFonts w:eastAsia="Georgia" w:cs="Georgia" w:ascii="Georgia" w:hAnsi="Georgia"/>
            <w:i/>
            <w:color w:val="4472C4"/>
          </w:rPr>
          <w:t xml:space="preserve">admin@studioverse.io</w:t>
        </w:r>
      </w:hyperlink>
      <w:r>
        <w:rPr/>
        <w:br w:type="textWrapping"/>
      </w:r>
      <w:r>
        <w:rPr>
          <w:i/>
        </w:rPr>
        <w:t xml:space="preserve">Confidential — Do Not Distribute Without Authorization</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decimal"/>
      <w:lvlText w:val="%1."/>
      <w:lvlJc w:val="left"/>
      <w:pPr>
        <w:tabs>
          <w:tab w:val="num" w:pos="1080"/>
        </w:tabs>
        <w:ind w:left="720" w:hanging="360"/>
      </w:p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coachingstudio.io" TargetMode="External"/><Relationship Id="rId6" Type="http://schemas.openxmlformats.org/officeDocument/2006/relationships/hyperlink" Target="http://trainingstudio.io" TargetMode="External"/><Relationship Id="rId7" Type="http://schemas.openxmlformats.org/officeDocument/2006/relationships/hyperlink" Target="http://recruitmentstudio.io" TargetMode="External"/><Relationship Id="rId8" Type="http://schemas.openxmlformats.org/officeDocument/2006/relationships/hyperlink" Target="http://thecoachdinesh.com" TargetMode="External"/><Relationship Id="rId9" Type="http://schemas.openxmlformats.org/officeDocument/2006/relationships/hyperlink" Target="mailto:admin@studioverse.io"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2026-03-31T14:17:57.196Z</dcterms:created>
  <dcterms:modified xsi:type="dcterms:W3CDTF">2026-03-31T14:17:57.196Z</dcterms:modified>
</cp:coreProperties>
</file>