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93D63"/>
          <w:sz w:val="56"/>
        </w:rPr>
        <w:t>SALES DASHBOARD</w:t>
      </w:r>
    </w:p>
    <w:p>
      <w:pPr>
        <w:jc w:val="center"/>
      </w:pPr>
      <w:r>
        <w:rPr>
          <w:color w:val="0070C0"/>
          <w:sz w:val="34"/>
        </w:rPr>
        <w:t>KPI Analysis &amp; Business Insights Report</w:t>
      </w:r>
    </w:p>
    <w:p>
      <w:pPr>
        <w:spacing w:before="240"/>
        <w:jc w:val="center"/>
      </w:pPr>
      <w:r>
        <w:rPr>
          <w:b/>
        </w:rPr>
        <w:t>Source file: 01.pbix</w:t>
        <w:br/>
      </w:r>
      <w:r>
        <w:t>Report date: 20 October 2026</w:t>
        <w:br/>
      </w:r>
      <w:r>
        <w:t>Scope: Revenue, cost, profit, margin and product/category performance</w:t>
      </w:r>
    </w:p>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93D63"/>
          </w:tcPr>
          <w:p>
            <w:pPr>
              <w:spacing w:after="20"/>
            </w:pPr>
            <w:r/>
            <w:r>
              <w:rPr>
                <w:rFonts w:ascii="Aptos" w:hAnsi="Aptos"/>
                <w:b/>
                <w:color w:val="FFFFFF"/>
                <w:sz w:val="18"/>
              </w:rPr>
              <w:t>Report status</w:t>
            </w:r>
          </w:p>
        </w:tc>
        <w:tc>
          <w:tcPr>
            <w:tcW w:type="dxa" w:w="8064"/>
            <w:vAlign w:val="center"/>
            <w:shd w:fill="193D63"/>
          </w:tcPr>
          <w:p>
            <w:pPr>
              <w:spacing w:after="20"/>
            </w:pPr>
            <w:r/>
            <w:r>
              <w:rPr>
                <w:rFonts w:ascii="Aptos" w:hAnsi="Aptos"/>
                <w:b/>
                <w:color w:val="FFFFFF"/>
                <w:sz w:val="18"/>
              </w:rPr>
              <w:t>What this document covers</w:t>
            </w:r>
          </w:p>
        </w:tc>
      </w:tr>
      <w:tr>
        <w:tc>
          <w:tcPr>
            <w:tcW w:type="dxa" w:w="2304"/>
            <w:vAlign w:val="center"/>
          </w:tcPr>
          <w:p>
            <w:pPr>
              <w:spacing w:after="20"/>
            </w:pPr>
            <w:r/>
            <w:r>
              <w:rPr>
                <w:rFonts w:ascii="Aptos" w:hAnsi="Aptos"/>
                <w:b w:val="0"/>
                <w:sz w:val="17"/>
              </w:rPr>
              <w:t>Model/report inspection</w:t>
            </w:r>
          </w:p>
        </w:tc>
        <w:tc>
          <w:tcPr>
            <w:tcW w:type="dxa" w:w="8064"/>
            <w:vAlign w:val="center"/>
          </w:tcPr>
          <w:p>
            <w:pPr>
              <w:spacing w:after="20"/>
            </w:pPr>
            <w:r/>
            <w:r>
              <w:rPr>
                <w:rFonts w:ascii="Aptos" w:hAnsi="Aptos"/>
                <w:b w:val="0"/>
                <w:sz w:val="17"/>
              </w:rPr>
              <w:t>The uploaded PBIX contains one report page with four KPI cards and four analytical visuals defined in the report metadata.</w:t>
            </w:r>
          </w:p>
        </w:tc>
      </w:tr>
      <w:tr>
        <w:tc>
          <w:tcPr>
            <w:tcW w:type="dxa" w:w="2304"/>
            <w:vAlign w:val="center"/>
            <w:shd w:fill="F1F6FA"/>
          </w:tcPr>
          <w:p>
            <w:pPr>
              <w:spacing w:after="20"/>
            </w:pPr>
            <w:r/>
            <w:r>
              <w:rPr>
                <w:rFonts w:ascii="Aptos" w:hAnsi="Aptos"/>
                <w:b w:val="0"/>
                <w:sz w:val="17"/>
              </w:rPr>
              <w:t>Numeric findings</w:t>
            </w:r>
          </w:p>
        </w:tc>
        <w:tc>
          <w:tcPr>
            <w:tcW w:type="dxa" w:w="8064"/>
            <w:vAlign w:val="center"/>
            <w:shd w:fill="F1F6FA"/>
          </w:tcPr>
          <w:p>
            <w:pPr>
              <w:spacing w:after="20"/>
            </w:pPr>
            <w:r/>
            <w:r>
              <w:rPr>
                <w:rFonts w:ascii="Aptos" w:hAnsi="Aptos"/>
                <w:b w:val="0"/>
                <w:sz w:val="17"/>
              </w:rPr>
              <w:t>Actual KPI totals are not stated in this document because the uploaded file’s report definition does not expose verified rendered values. Refresh and validate in Power BI before sharing.</w:t>
            </w:r>
          </w:p>
        </w:tc>
      </w:tr>
    </w:tbl>
    <w:p>
      <w:pPr>
        <w:spacing w:after="20"/>
      </w:pPr>
    </w:p>
    <w:p>
      <w:r>
        <w:br w:type="page"/>
      </w:r>
    </w:p>
    <w:p>
      <w:pPr>
        <w:pStyle w:val="Heading1"/>
      </w:pPr>
      <w:r>
        <w:t>1. Executive Summary</w:t>
      </w:r>
    </w:p>
    <w:p>
      <w:r>
        <w:t>The report is structured to monitor sales performance through four headline KPIs—Total Revenue, Total Cost, Total Profit and Profit Margin—supported by product-level revenue, product-level profit, category revenue and a revenue-versus-cost comparison.</w:t>
      </w:r>
    </w:p>
    <w:p>
      <w:r>
        <w:t>The most important management use is to read revenue and profitability together. High revenue alone does not guarantee strong profit; product and category views help identify where sales are concentrated and where profit contribution may be weaker.</w:t>
      </w:r>
    </w:p>
    <w:p>
      <w:r>
        <w:t>Important data-quality note: this report is based on the visual definitions found inside 01.pbix. The report metadata identifies the visuals and measures, but does not provide verified live card values or chart data points. Therefore, no numeric business result or ranking is invented here.</w:t>
      </w:r>
    </w:p>
    <w:p>
      <w:pPr>
        <w:pStyle w:val="Heading1"/>
      </w:pPr>
      <w:r>
        <w:t>2. Important KPI Scorecard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vAlign w:val="center"/>
            <w:shd w:fill="193D63"/>
          </w:tcPr>
          <w:p>
            <w:pPr>
              <w:spacing w:after="20"/>
            </w:pPr>
            <w:r/>
            <w:r>
              <w:rPr>
                <w:rFonts w:ascii="Aptos" w:hAnsi="Aptos"/>
                <w:b/>
                <w:color w:val="FFFFFF"/>
                <w:sz w:val="18"/>
              </w:rPr>
              <w:t>KPI</w:t>
            </w:r>
          </w:p>
        </w:tc>
        <w:tc>
          <w:tcPr>
            <w:tcW w:type="dxa" w:w="2592"/>
            <w:vAlign w:val="center"/>
            <w:shd w:fill="193D63"/>
          </w:tcPr>
          <w:p>
            <w:pPr>
              <w:spacing w:after="20"/>
            </w:pPr>
            <w:r/>
            <w:r>
              <w:rPr>
                <w:rFonts w:ascii="Aptos" w:hAnsi="Aptos"/>
                <w:b/>
                <w:color w:val="FFFFFF"/>
                <w:sz w:val="18"/>
              </w:rPr>
              <w:t>Business meaning</w:t>
            </w:r>
          </w:p>
        </w:tc>
        <w:tc>
          <w:tcPr>
            <w:tcW w:type="dxa" w:w="3240"/>
            <w:vAlign w:val="center"/>
            <w:shd w:fill="193D63"/>
          </w:tcPr>
          <w:p>
            <w:pPr>
              <w:spacing w:after="20"/>
            </w:pPr>
            <w:r/>
            <w:r>
              <w:rPr>
                <w:rFonts w:ascii="Aptos" w:hAnsi="Aptos"/>
                <w:b/>
                <w:color w:val="FFFFFF"/>
                <w:sz w:val="18"/>
              </w:rPr>
              <w:t>Recommended calculation</w:t>
            </w:r>
          </w:p>
        </w:tc>
        <w:tc>
          <w:tcPr>
            <w:tcW w:type="dxa" w:w="3168"/>
            <w:vAlign w:val="center"/>
            <w:shd w:fill="193D63"/>
          </w:tcPr>
          <w:p>
            <w:pPr>
              <w:spacing w:after="20"/>
            </w:pPr>
            <w:r/>
            <w:r>
              <w:rPr>
                <w:rFonts w:ascii="Aptos" w:hAnsi="Aptos"/>
                <w:b/>
                <w:color w:val="FFFFFF"/>
                <w:sz w:val="18"/>
              </w:rPr>
              <w:t>How to interpret</w:t>
            </w:r>
          </w:p>
        </w:tc>
      </w:tr>
      <w:tr>
        <w:tc>
          <w:tcPr>
            <w:tcW w:type="dxa" w:w="1584"/>
            <w:vAlign w:val="center"/>
          </w:tcPr>
          <w:p>
            <w:pPr>
              <w:spacing w:after="20"/>
            </w:pPr>
            <w:r/>
            <w:r>
              <w:rPr>
                <w:rFonts w:ascii="Aptos" w:hAnsi="Aptos"/>
                <w:b w:val="0"/>
                <w:sz w:val="17"/>
              </w:rPr>
              <w:t>Total Revenue</w:t>
            </w:r>
          </w:p>
        </w:tc>
        <w:tc>
          <w:tcPr>
            <w:tcW w:type="dxa" w:w="2592"/>
            <w:vAlign w:val="center"/>
          </w:tcPr>
          <w:p>
            <w:pPr>
              <w:spacing w:after="20"/>
            </w:pPr>
            <w:r/>
            <w:r>
              <w:rPr>
                <w:rFonts w:ascii="Aptos" w:hAnsi="Aptos"/>
                <w:b w:val="0"/>
                <w:sz w:val="17"/>
              </w:rPr>
              <w:t>Total value of sales generated.</w:t>
            </w:r>
          </w:p>
        </w:tc>
        <w:tc>
          <w:tcPr>
            <w:tcW w:type="dxa" w:w="3240"/>
            <w:vAlign w:val="center"/>
          </w:tcPr>
          <w:p>
            <w:pPr>
              <w:spacing w:after="20"/>
            </w:pPr>
            <w:r/>
            <w:r>
              <w:rPr>
                <w:rFonts w:ascii="Aptos" w:hAnsi="Aptos"/>
                <w:b w:val="0"/>
                <w:sz w:val="17"/>
              </w:rPr>
              <w:t>SUM(Sales[Revenue/Amount]) — use the model’s existing [Total Revenue] measure.</w:t>
            </w:r>
          </w:p>
        </w:tc>
        <w:tc>
          <w:tcPr>
            <w:tcW w:type="dxa" w:w="3168"/>
            <w:vAlign w:val="center"/>
          </w:tcPr>
          <w:p>
            <w:pPr>
              <w:spacing w:after="20"/>
            </w:pPr>
            <w:r/>
            <w:r>
              <w:rPr>
                <w:rFonts w:ascii="Aptos" w:hAnsi="Aptos"/>
                <w:b w:val="0"/>
                <w:sz w:val="17"/>
              </w:rPr>
              <w:t>Track overall sales scale; compare by product, category and time when date data is available.</w:t>
            </w:r>
          </w:p>
        </w:tc>
      </w:tr>
      <w:tr>
        <w:tc>
          <w:tcPr>
            <w:tcW w:type="dxa" w:w="1584"/>
            <w:vAlign w:val="center"/>
            <w:shd w:fill="F1F6FA"/>
          </w:tcPr>
          <w:p>
            <w:pPr>
              <w:spacing w:after="20"/>
            </w:pPr>
            <w:r/>
            <w:r>
              <w:rPr>
                <w:rFonts w:ascii="Aptos" w:hAnsi="Aptos"/>
                <w:b w:val="0"/>
                <w:sz w:val="17"/>
              </w:rPr>
              <w:t>Total Cost</w:t>
            </w:r>
          </w:p>
        </w:tc>
        <w:tc>
          <w:tcPr>
            <w:tcW w:type="dxa" w:w="2592"/>
            <w:vAlign w:val="center"/>
            <w:shd w:fill="F1F6FA"/>
          </w:tcPr>
          <w:p>
            <w:pPr>
              <w:spacing w:after="20"/>
            </w:pPr>
            <w:r/>
            <w:r>
              <w:rPr>
                <w:rFonts w:ascii="Aptos" w:hAnsi="Aptos"/>
                <w:b w:val="0"/>
                <w:sz w:val="17"/>
              </w:rPr>
              <w:t>Total recorded cost associated with sales.</w:t>
            </w:r>
          </w:p>
        </w:tc>
        <w:tc>
          <w:tcPr>
            <w:tcW w:type="dxa" w:w="3240"/>
            <w:vAlign w:val="center"/>
            <w:shd w:fill="F1F6FA"/>
          </w:tcPr>
          <w:p>
            <w:pPr>
              <w:spacing w:after="20"/>
            </w:pPr>
            <w:r/>
            <w:r>
              <w:rPr>
                <w:rFonts w:ascii="Aptos" w:hAnsi="Aptos"/>
                <w:b w:val="0"/>
                <w:sz w:val="17"/>
              </w:rPr>
              <w:t>SUM(Sales[Cost]) — use the model’s existing [Total Cost] measure.</w:t>
            </w:r>
          </w:p>
        </w:tc>
        <w:tc>
          <w:tcPr>
            <w:tcW w:type="dxa" w:w="3168"/>
            <w:vAlign w:val="center"/>
            <w:shd w:fill="F1F6FA"/>
          </w:tcPr>
          <w:p>
            <w:pPr>
              <w:spacing w:after="20"/>
            </w:pPr>
            <w:r/>
            <w:r>
              <w:rPr>
                <w:rFonts w:ascii="Aptos" w:hAnsi="Aptos"/>
                <w:b w:val="0"/>
                <w:sz w:val="17"/>
              </w:rPr>
              <w:t>Monitor the cost base. Confirm cost data is complete and uses the same grain/currency as revenue.</w:t>
            </w:r>
          </w:p>
        </w:tc>
      </w:tr>
      <w:tr>
        <w:tc>
          <w:tcPr>
            <w:tcW w:type="dxa" w:w="1584"/>
            <w:vAlign w:val="center"/>
          </w:tcPr>
          <w:p>
            <w:pPr>
              <w:spacing w:after="20"/>
            </w:pPr>
            <w:r/>
            <w:r>
              <w:rPr>
                <w:rFonts w:ascii="Aptos" w:hAnsi="Aptos"/>
                <w:b w:val="0"/>
                <w:sz w:val="17"/>
              </w:rPr>
              <w:t>Total Profit</w:t>
            </w:r>
          </w:p>
        </w:tc>
        <w:tc>
          <w:tcPr>
            <w:tcW w:type="dxa" w:w="2592"/>
            <w:vAlign w:val="center"/>
          </w:tcPr>
          <w:p>
            <w:pPr>
              <w:spacing w:after="20"/>
            </w:pPr>
            <w:r/>
            <w:r>
              <w:rPr>
                <w:rFonts w:ascii="Aptos" w:hAnsi="Aptos"/>
                <w:b w:val="0"/>
                <w:sz w:val="17"/>
              </w:rPr>
              <w:t>Revenue remaining after recorded cost.</w:t>
            </w:r>
          </w:p>
        </w:tc>
        <w:tc>
          <w:tcPr>
            <w:tcW w:type="dxa" w:w="3240"/>
            <w:vAlign w:val="center"/>
          </w:tcPr>
          <w:p>
            <w:pPr>
              <w:spacing w:after="20"/>
            </w:pPr>
            <w:r/>
            <w:r>
              <w:rPr>
                <w:rFonts w:ascii="Aptos" w:hAnsi="Aptos"/>
                <w:b w:val="0"/>
                <w:sz w:val="17"/>
              </w:rPr>
              <w:t>Total Revenue − Total Cost; use the existing [Total Profit] measure.</w:t>
            </w:r>
          </w:p>
        </w:tc>
        <w:tc>
          <w:tcPr>
            <w:tcW w:type="dxa" w:w="3168"/>
            <w:vAlign w:val="center"/>
          </w:tcPr>
          <w:p>
            <w:pPr>
              <w:spacing w:after="20"/>
            </w:pPr>
            <w:r/>
            <w:r>
              <w:rPr>
                <w:rFonts w:ascii="Aptos" w:hAnsi="Aptos"/>
                <w:b w:val="0"/>
                <w:sz w:val="17"/>
              </w:rPr>
              <w:t>Positive and growing profit indicates better absolute profitability, assuming costs are complete.</w:t>
            </w:r>
          </w:p>
        </w:tc>
      </w:tr>
      <w:tr>
        <w:tc>
          <w:tcPr>
            <w:tcW w:type="dxa" w:w="1584"/>
            <w:vAlign w:val="center"/>
            <w:shd w:fill="F1F6FA"/>
          </w:tcPr>
          <w:p>
            <w:pPr>
              <w:spacing w:after="20"/>
            </w:pPr>
            <w:r/>
            <w:r>
              <w:rPr>
                <w:rFonts w:ascii="Aptos" w:hAnsi="Aptos"/>
                <w:b w:val="0"/>
                <w:sz w:val="17"/>
              </w:rPr>
              <w:t>Profit Margin</w:t>
            </w:r>
          </w:p>
        </w:tc>
        <w:tc>
          <w:tcPr>
            <w:tcW w:type="dxa" w:w="2592"/>
            <w:vAlign w:val="center"/>
            <w:shd w:fill="F1F6FA"/>
          </w:tcPr>
          <w:p>
            <w:pPr>
              <w:spacing w:after="20"/>
            </w:pPr>
            <w:r/>
            <w:r>
              <w:rPr>
                <w:rFonts w:ascii="Aptos" w:hAnsi="Aptos"/>
                <w:b w:val="0"/>
                <w:sz w:val="17"/>
              </w:rPr>
              <w:t>Share of revenue retained as profit.</w:t>
            </w:r>
          </w:p>
        </w:tc>
        <w:tc>
          <w:tcPr>
            <w:tcW w:type="dxa" w:w="3240"/>
            <w:vAlign w:val="center"/>
            <w:shd w:fill="F1F6FA"/>
          </w:tcPr>
          <w:p>
            <w:pPr>
              <w:spacing w:after="20"/>
            </w:pPr>
            <w:r/>
            <w:r>
              <w:rPr>
                <w:rFonts w:ascii="Aptos" w:hAnsi="Aptos"/>
                <w:b w:val="0"/>
                <w:sz w:val="17"/>
              </w:rPr>
              <w:t>Total Profit ÷ Total Revenue × 100; use the existing [Profit Margin] measure.</w:t>
            </w:r>
          </w:p>
        </w:tc>
        <w:tc>
          <w:tcPr>
            <w:tcW w:type="dxa" w:w="3168"/>
            <w:vAlign w:val="center"/>
            <w:shd w:fill="F1F6FA"/>
          </w:tcPr>
          <w:p>
            <w:pPr>
              <w:spacing w:after="20"/>
            </w:pPr>
            <w:r/>
            <w:r>
              <w:rPr>
                <w:rFonts w:ascii="Aptos" w:hAnsi="Aptos"/>
                <w:b w:val="0"/>
                <w:sz w:val="17"/>
              </w:rPr>
              <w:t>A higher margin means more profit per unit of revenue. Compare products/categories carefully.</w:t>
            </w:r>
          </w:p>
        </w:tc>
      </w:tr>
    </w:tbl>
    <w:p>
      <w:pPr>
        <w:spacing w:after="20"/>
      </w:pPr>
    </w:p>
    <w:p>
      <w:r>
        <w:t>Display guidance: format Revenue, Cost and Profit as currency (for example, ₹ with K/L/Cr units where appropriate). Format Profit Margin as a percentage with one or two decimal places. Use consistent units and number formatting across all cards.</w:t>
      </w:r>
    </w:p>
    <w:p>
      <w:pPr>
        <w:pStyle w:val="Heading1"/>
      </w:pPr>
      <w:r>
        <w:t>3. Dashboard Visuals and What They Tell You</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93D63"/>
          </w:tcPr>
          <w:p>
            <w:pPr>
              <w:spacing w:after="20"/>
            </w:pPr>
            <w:r/>
            <w:r>
              <w:rPr>
                <w:rFonts w:ascii="Aptos" w:hAnsi="Aptos"/>
                <w:b/>
                <w:color w:val="FFFFFF"/>
                <w:sz w:val="18"/>
              </w:rPr>
              <w:t>Visual identified in PBIX</w:t>
            </w:r>
          </w:p>
        </w:tc>
        <w:tc>
          <w:tcPr>
            <w:tcW w:type="dxa" w:w="2880"/>
            <w:vAlign w:val="center"/>
            <w:shd w:fill="193D63"/>
          </w:tcPr>
          <w:p>
            <w:pPr>
              <w:spacing w:after="20"/>
            </w:pPr>
            <w:r/>
            <w:r>
              <w:rPr>
                <w:rFonts w:ascii="Aptos" w:hAnsi="Aptos"/>
                <w:b/>
                <w:color w:val="FFFFFF"/>
                <w:sz w:val="18"/>
              </w:rPr>
              <w:t>Purpose</w:t>
            </w:r>
          </w:p>
        </w:tc>
        <w:tc>
          <w:tcPr>
            <w:tcW w:type="dxa" w:w="4896"/>
            <w:vAlign w:val="center"/>
            <w:shd w:fill="193D63"/>
          </w:tcPr>
          <w:p>
            <w:pPr>
              <w:spacing w:after="20"/>
            </w:pPr>
            <w:r/>
            <w:r>
              <w:rPr>
                <w:rFonts w:ascii="Aptos" w:hAnsi="Aptos"/>
                <w:b/>
                <w:color w:val="FFFFFF"/>
                <w:sz w:val="18"/>
              </w:rPr>
              <w:t>Questions to answer</w:t>
            </w:r>
          </w:p>
        </w:tc>
      </w:tr>
      <w:tr>
        <w:tc>
          <w:tcPr>
            <w:tcW w:type="dxa" w:w="2880"/>
            <w:vAlign w:val="center"/>
          </w:tcPr>
          <w:p>
            <w:pPr>
              <w:spacing w:after="20"/>
            </w:pPr>
            <w:r/>
            <w:r>
              <w:rPr>
                <w:rFonts w:ascii="Aptos" w:hAnsi="Aptos"/>
                <w:b w:val="0"/>
                <w:sz w:val="17"/>
              </w:rPr>
              <w:t>Revenue by Product Name (clustered column chart)</w:t>
            </w:r>
          </w:p>
        </w:tc>
        <w:tc>
          <w:tcPr>
            <w:tcW w:type="dxa" w:w="2880"/>
            <w:vAlign w:val="center"/>
          </w:tcPr>
          <w:p>
            <w:pPr>
              <w:spacing w:after="20"/>
            </w:pPr>
            <w:r/>
            <w:r>
              <w:rPr>
                <w:rFonts w:ascii="Aptos" w:hAnsi="Aptos"/>
                <w:b w:val="0"/>
                <w:sz w:val="17"/>
              </w:rPr>
              <w:t>Compare revenue across products.</w:t>
            </w:r>
          </w:p>
        </w:tc>
        <w:tc>
          <w:tcPr>
            <w:tcW w:type="dxa" w:w="4896"/>
            <w:vAlign w:val="center"/>
          </w:tcPr>
          <w:p>
            <w:pPr>
              <w:spacing w:after="20"/>
            </w:pPr>
            <w:r/>
            <w:r>
              <w:rPr>
                <w:rFonts w:ascii="Aptos" w:hAnsi="Aptos"/>
                <w:b w:val="0"/>
                <w:sz w:val="17"/>
              </w:rPr>
              <w:t>Which products contribute the most revenue? Is revenue concentrated in a small number of products?</w:t>
            </w:r>
          </w:p>
        </w:tc>
      </w:tr>
      <w:tr>
        <w:tc>
          <w:tcPr>
            <w:tcW w:type="dxa" w:w="2880"/>
            <w:vAlign w:val="center"/>
            <w:shd w:fill="F1F6FA"/>
          </w:tcPr>
          <w:p>
            <w:pPr>
              <w:spacing w:after="20"/>
            </w:pPr>
            <w:r/>
            <w:r>
              <w:rPr>
                <w:rFonts w:ascii="Aptos" w:hAnsi="Aptos"/>
                <w:b w:val="0"/>
                <w:sz w:val="17"/>
              </w:rPr>
              <w:t>Profit by Product Name (clustered bar chart)</w:t>
            </w:r>
          </w:p>
        </w:tc>
        <w:tc>
          <w:tcPr>
            <w:tcW w:type="dxa" w:w="2880"/>
            <w:vAlign w:val="center"/>
            <w:shd w:fill="F1F6FA"/>
          </w:tcPr>
          <w:p>
            <w:pPr>
              <w:spacing w:after="20"/>
            </w:pPr>
            <w:r/>
            <w:r>
              <w:rPr>
                <w:rFonts w:ascii="Aptos" w:hAnsi="Aptos"/>
                <w:b w:val="0"/>
                <w:sz w:val="17"/>
              </w:rPr>
              <w:t>Compare profit contribution across products.</w:t>
            </w:r>
          </w:p>
        </w:tc>
        <w:tc>
          <w:tcPr>
            <w:tcW w:type="dxa" w:w="4896"/>
            <w:vAlign w:val="center"/>
            <w:shd w:fill="F1F6FA"/>
          </w:tcPr>
          <w:p>
            <w:pPr>
              <w:spacing w:after="20"/>
            </w:pPr>
            <w:r/>
            <w:r>
              <w:rPr>
                <w:rFonts w:ascii="Aptos" w:hAnsi="Aptos"/>
                <w:b w:val="0"/>
                <w:sz w:val="17"/>
              </w:rPr>
              <w:t>Which products contribute most profit? Are any high-revenue products generating comparatively low profit?</w:t>
            </w:r>
          </w:p>
        </w:tc>
      </w:tr>
      <w:tr>
        <w:tc>
          <w:tcPr>
            <w:tcW w:type="dxa" w:w="2880"/>
            <w:vAlign w:val="center"/>
          </w:tcPr>
          <w:p>
            <w:pPr>
              <w:spacing w:after="20"/>
            </w:pPr>
            <w:r/>
            <w:r>
              <w:rPr>
                <w:rFonts w:ascii="Aptos" w:hAnsi="Aptos"/>
                <w:b w:val="0"/>
                <w:sz w:val="17"/>
              </w:rPr>
              <w:t>Revenue by Category (donut chart)</w:t>
            </w:r>
          </w:p>
        </w:tc>
        <w:tc>
          <w:tcPr>
            <w:tcW w:type="dxa" w:w="2880"/>
            <w:vAlign w:val="center"/>
          </w:tcPr>
          <w:p>
            <w:pPr>
              <w:spacing w:after="20"/>
            </w:pPr>
            <w:r/>
            <w:r>
              <w:rPr>
                <w:rFonts w:ascii="Aptos" w:hAnsi="Aptos"/>
                <w:b w:val="0"/>
                <w:sz w:val="17"/>
              </w:rPr>
              <w:t>Show category share of total revenue.</w:t>
            </w:r>
          </w:p>
        </w:tc>
        <w:tc>
          <w:tcPr>
            <w:tcW w:type="dxa" w:w="4896"/>
            <w:vAlign w:val="center"/>
          </w:tcPr>
          <w:p>
            <w:pPr>
              <w:spacing w:after="20"/>
            </w:pPr>
            <w:r/>
            <w:r>
              <w:rPr>
                <w:rFonts w:ascii="Aptos" w:hAnsi="Aptos"/>
                <w:b w:val="0"/>
                <w:sz w:val="17"/>
              </w:rPr>
              <w:t>Which categories account for the largest share? Are category sales overly dependent on one category?</w:t>
            </w:r>
          </w:p>
        </w:tc>
      </w:tr>
      <w:tr>
        <w:tc>
          <w:tcPr>
            <w:tcW w:type="dxa" w:w="2880"/>
            <w:vAlign w:val="center"/>
            <w:shd w:fill="F1F6FA"/>
          </w:tcPr>
          <w:p>
            <w:pPr>
              <w:spacing w:after="20"/>
            </w:pPr>
            <w:r/>
            <w:r>
              <w:rPr>
                <w:rFonts w:ascii="Aptos" w:hAnsi="Aptos"/>
                <w:b w:val="0"/>
                <w:sz w:val="17"/>
              </w:rPr>
              <w:t>Revenue VS Cost (area chart)</w:t>
            </w:r>
          </w:p>
        </w:tc>
        <w:tc>
          <w:tcPr>
            <w:tcW w:type="dxa" w:w="2880"/>
            <w:vAlign w:val="center"/>
            <w:shd w:fill="F1F6FA"/>
          </w:tcPr>
          <w:p>
            <w:pPr>
              <w:spacing w:after="20"/>
            </w:pPr>
            <w:r/>
            <w:r>
              <w:rPr>
                <w:rFonts w:ascii="Aptos" w:hAnsi="Aptos"/>
                <w:b w:val="0"/>
                <w:sz w:val="17"/>
              </w:rPr>
              <w:t>Compare revenue with cost using the configured Cost category and Total Revenue value.</w:t>
            </w:r>
          </w:p>
        </w:tc>
        <w:tc>
          <w:tcPr>
            <w:tcW w:type="dxa" w:w="4896"/>
            <w:vAlign w:val="center"/>
            <w:shd w:fill="F1F6FA"/>
          </w:tcPr>
          <w:p>
            <w:pPr>
              <w:spacing w:after="20"/>
            </w:pPr>
            <w:r/>
            <w:r>
              <w:rPr>
                <w:rFonts w:ascii="Aptos" w:hAnsi="Aptos"/>
                <w:b w:val="0"/>
                <w:sz w:val="17"/>
              </w:rPr>
              <w:t>Does the visual communicate a meaningful comparison? If Cost is being used as a category axis rather than a time/date field, consider replacing it with Date/Month or using a clustered column chart for a clearer comparison.</w:t>
            </w:r>
          </w:p>
        </w:tc>
      </w:tr>
    </w:tbl>
    <w:p>
      <w:pPr>
        <w:spacing w:after="20"/>
      </w:pPr>
    </w:p>
    <w:p>
      <w:pPr>
        <w:pStyle w:val="Heading1"/>
      </w:pPr>
      <w:r>
        <w:t>4. Recommended Additional KPIs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193D63"/>
          </w:tcPr>
          <w:p>
            <w:pPr>
              <w:spacing w:after="20"/>
            </w:pPr>
            <w:r/>
            <w:r>
              <w:rPr>
                <w:rFonts w:ascii="Aptos" w:hAnsi="Aptos"/>
                <w:b/>
                <w:color w:val="FFFFFF"/>
                <w:sz w:val="18"/>
              </w:rPr>
              <w:t>Additional KPI</w:t>
            </w:r>
          </w:p>
        </w:tc>
        <w:tc>
          <w:tcPr>
            <w:tcW w:type="dxa" w:w="3744"/>
            <w:vAlign w:val="center"/>
            <w:shd w:fill="193D63"/>
          </w:tcPr>
          <w:p>
            <w:pPr>
              <w:spacing w:after="20"/>
            </w:pPr>
            <w:r/>
            <w:r>
              <w:rPr>
                <w:rFonts w:ascii="Aptos" w:hAnsi="Aptos"/>
                <w:b/>
                <w:color w:val="FFFFFF"/>
                <w:sz w:val="18"/>
              </w:rPr>
              <w:t>Formula / setup</w:t>
            </w:r>
          </w:p>
        </w:tc>
        <w:tc>
          <w:tcPr>
            <w:tcW w:type="dxa" w:w="4680"/>
            <w:vAlign w:val="center"/>
            <w:shd w:fill="193D63"/>
          </w:tcPr>
          <w:p>
            <w:pPr>
              <w:spacing w:after="20"/>
            </w:pPr>
            <w:r/>
            <w:r>
              <w:rPr>
                <w:rFonts w:ascii="Aptos" w:hAnsi="Aptos"/>
                <w:b/>
                <w:color w:val="FFFFFF"/>
                <w:sz w:val="18"/>
              </w:rPr>
              <w:t>Why it matters</w:t>
            </w:r>
          </w:p>
        </w:tc>
      </w:tr>
      <w:tr>
        <w:tc>
          <w:tcPr>
            <w:tcW w:type="dxa" w:w="2232"/>
            <w:vAlign w:val="center"/>
          </w:tcPr>
          <w:p>
            <w:pPr>
              <w:spacing w:after="20"/>
            </w:pPr>
            <w:r/>
            <w:r>
              <w:rPr>
                <w:rFonts w:ascii="Aptos" w:hAnsi="Aptos"/>
                <w:b w:val="0"/>
                <w:sz w:val="17"/>
              </w:rPr>
              <w:t>Order Count</w:t>
            </w:r>
          </w:p>
        </w:tc>
        <w:tc>
          <w:tcPr>
            <w:tcW w:type="dxa" w:w="3744"/>
            <w:vAlign w:val="center"/>
          </w:tcPr>
          <w:p>
            <w:pPr>
              <w:spacing w:after="20"/>
            </w:pPr>
            <w:r/>
            <w:r>
              <w:rPr>
                <w:rFonts w:ascii="Aptos" w:hAnsi="Aptos"/>
                <w:b w:val="0"/>
                <w:sz w:val="17"/>
              </w:rPr>
              <w:t>Distinct count of Order ID.</w:t>
            </w:r>
          </w:p>
        </w:tc>
        <w:tc>
          <w:tcPr>
            <w:tcW w:type="dxa" w:w="4680"/>
            <w:vAlign w:val="center"/>
          </w:tcPr>
          <w:p>
            <w:pPr>
              <w:spacing w:after="20"/>
            </w:pPr>
            <w:r/>
            <w:r>
              <w:rPr>
                <w:rFonts w:ascii="Aptos" w:hAnsi="Aptos"/>
                <w:b w:val="0"/>
                <w:sz w:val="17"/>
              </w:rPr>
              <w:t>Measures transaction volume and supports average-order-value analysis.</w:t>
            </w:r>
          </w:p>
        </w:tc>
      </w:tr>
      <w:tr>
        <w:tc>
          <w:tcPr>
            <w:tcW w:type="dxa" w:w="2232"/>
            <w:vAlign w:val="center"/>
            <w:shd w:fill="F1F6FA"/>
          </w:tcPr>
          <w:p>
            <w:pPr>
              <w:spacing w:after="20"/>
            </w:pPr>
            <w:r/>
            <w:r>
              <w:rPr>
                <w:rFonts w:ascii="Aptos" w:hAnsi="Aptos"/>
                <w:b w:val="0"/>
                <w:sz w:val="17"/>
              </w:rPr>
              <w:t>Units Sold</w:t>
            </w:r>
          </w:p>
        </w:tc>
        <w:tc>
          <w:tcPr>
            <w:tcW w:type="dxa" w:w="3744"/>
            <w:vAlign w:val="center"/>
            <w:shd w:fill="F1F6FA"/>
          </w:tcPr>
          <w:p>
            <w:pPr>
              <w:spacing w:after="20"/>
            </w:pPr>
            <w:r/>
            <w:r>
              <w:rPr>
                <w:rFonts w:ascii="Aptos" w:hAnsi="Aptos"/>
                <w:b w:val="0"/>
                <w:sz w:val="17"/>
              </w:rPr>
              <w:t>SUM(Quantity), if a quantity field exists.</w:t>
            </w:r>
          </w:p>
        </w:tc>
        <w:tc>
          <w:tcPr>
            <w:tcW w:type="dxa" w:w="4680"/>
            <w:vAlign w:val="center"/>
            <w:shd w:fill="F1F6FA"/>
          </w:tcPr>
          <w:p>
            <w:pPr>
              <w:spacing w:after="20"/>
            </w:pPr>
            <w:r/>
            <w:r>
              <w:rPr>
                <w:rFonts w:ascii="Aptos" w:hAnsi="Aptos"/>
                <w:b w:val="0"/>
                <w:sz w:val="17"/>
              </w:rPr>
              <w:t>Shows volume independently of price changes.</w:t>
            </w:r>
          </w:p>
        </w:tc>
      </w:tr>
      <w:tr>
        <w:tc>
          <w:tcPr>
            <w:tcW w:type="dxa" w:w="2232"/>
            <w:vAlign w:val="center"/>
          </w:tcPr>
          <w:p>
            <w:pPr>
              <w:spacing w:after="20"/>
            </w:pPr>
            <w:r/>
            <w:r>
              <w:rPr>
                <w:rFonts w:ascii="Aptos" w:hAnsi="Aptos"/>
                <w:b w:val="0"/>
                <w:sz w:val="17"/>
              </w:rPr>
              <w:t>Average Order Value (AOV)</w:t>
            </w:r>
          </w:p>
        </w:tc>
        <w:tc>
          <w:tcPr>
            <w:tcW w:type="dxa" w:w="3744"/>
            <w:vAlign w:val="center"/>
          </w:tcPr>
          <w:p>
            <w:pPr>
              <w:spacing w:after="20"/>
            </w:pPr>
            <w:r/>
            <w:r>
              <w:rPr>
                <w:rFonts w:ascii="Aptos" w:hAnsi="Aptos"/>
                <w:b w:val="0"/>
                <w:sz w:val="17"/>
              </w:rPr>
              <w:t>Total Revenue ÷ distinct Order ID count.</w:t>
            </w:r>
          </w:p>
        </w:tc>
        <w:tc>
          <w:tcPr>
            <w:tcW w:type="dxa" w:w="4680"/>
            <w:vAlign w:val="center"/>
          </w:tcPr>
          <w:p>
            <w:pPr>
              <w:spacing w:after="20"/>
            </w:pPr>
            <w:r/>
            <w:r>
              <w:rPr>
                <w:rFonts w:ascii="Aptos" w:hAnsi="Aptos"/>
                <w:b w:val="0"/>
                <w:sz w:val="17"/>
              </w:rPr>
              <w:t>Indicates average revenue generated per order.</w:t>
            </w:r>
          </w:p>
        </w:tc>
      </w:tr>
      <w:tr>
        <w:tc>
          <w:tcPr>
            <w:tcW w:type="dxa" w:w="2232"/>
            <w:vAlign w:val="center"/>
            <w:shd w:fill="F1F6FA"/>
          </w:tcPr>
          <w:p>
            <w:pPr>
              <w:spacing w:after="20"/>
            </w:pPr>
            <w:r/>
            <w:r>
              <w:rPr>
                <w:rFonts w:ascii="Aptos" w:hAnsi="Aptos"/>
                <w:b w:val="0"/>
                <w:sz w:val="17"/>
              </w:rPr>
              <w:t>Revenue per Product</w:t>
            </w:r>
          </w:p>
        </w:tc>
        <w:tc>
          <w:tcPr>
            <w:tcW w:type="dxa" w:w="3744"/>
            <w:vAlign w:val="center"/>
            <w:shd w:fill="F1F6FA"/>
          </w:tcPr>
          <w:p>
            <w:pPr>
              <w:spacing w:after="20"/>
            </w:pPr>
            <w:r/>
            <w:r>
              <w:rPr>
                <w:rFonts w:ascii="Aptos" w:hAnsi="Aptos"/>
                <w:b w:val="0"/>
                <w:sz w:val="17"/>
              </w:rPr>
              <w:t>Total Revenue ÷ distinct product count.</w:t>
            </w:r>
          </w:p>
        </w:tc>
        <w:tc>
          <w:tcPr>
            <w:tcW w:type="dxa" w:w="4680"/>
            <w:vAlign w:val="center"/>
            <w:shd w:fill="F1F6FA"/>
          </w:tcPr>
          <w:p>
            <w:pPr>
              <w:spacing w:after="20"/>
            </w:pPr>
            <w:r/>
            <w:r>
              <w:rPr>
                <w:rFonts w:ascii="Aptos" w:hAnsi="Aptos"/>
                <w:b w:val="0"/>
                <w:sz w:val="17"/>
              </w:rPr>
              <w:t>Useful for comparing portfolio productivity; interpret with product mix in mind.</w:t>
            </w:r>
          </w:p>
        </w:tc>
      </w:tr>
      <w:tr>
        <w:tc>
          <w:tcPr>
            <w:tcW w:type="dxa" w:w="2232"/>
            <w:vAlign w:val="center"/>
          </w:tcPr>
          <w:p>
            <w:pPr>
              <w:spacing w:after="20"/>
            </w:pPr>
            <w:r/>
            <w:r>
              <w:rPr>
                <w:rFonts w:ascii="Aptos" w:hAnsi="Aptos"/>
                <w:b w:val="0"/>
                <w:sz w:val="17"/>
              </w:rPr>
              <w:t>Profit by Category</w:t>
            </w:r>
          </w:p>
        </w:tc>
        <w:tc>
          <w:tcPr>
            <w:tcW w:type="dxa" w:w="3744"/>
            <w:vAlign w:val="center"/>
          </w:tcPr>
          <w:p>
            <w:pPr>
              <w:spacing w:after="20"/>
            </w:pPr>
            <w:r/>
            <w:r>
              <w:rPr>
                <w:rFonts w:ascii="Aptos" w:hAnsi="Aptos"/>
                <w:b w:val="0"/>
                <w:sz w:val="17"/>
              </w:rPr>
              <w:t>Use [Total Profit] grouped by Product Category.</w:t>
            </w:r>
          </w:p>
        </w:tc>
        <w:tc>
          <w:tcPr>
            <w:tcW w:type="dxa" w:w="4680"/>
            <w:vAlign w:val="center"/>
          </w:tcPr>
          <w:p>
            <w:pPr>
              <w:spacing w:after="20"/>
            </w:pPr>
            <w:r/>
            <w:r>
              <w:rPr>
                <w:rFonts w:ascii="Aptos" w:hAnsi="Aptos"/>
                <w:b w:val="0"/>
                <w:sz w:val="17"/>
              </w:rPr>
              <w:t>Reveals whether high-revenue categories also generate high profit.</w:t>
            </w:r>
          </w:p>
        </w:tc>
      </w:tr>
      <w:tr>
        <w:tc>
          <w:tcPr>
            <w:tcW w:type="dxa" w:w="2232"/>
            <w:vAlign w:val="center"/>
            <w:shd w:fill="F1F6FA"/>
          </w:tcPr>
          <w:p>
            <w:pPr>
              <w:spacing w:after="20"/>
            </w:pPr>
            <w:r/>
            <w:r>
              <w:rPr>
                <w:rFonts w:ascii="Aptos" w:hAnsi="Aptos"/>
                <w:b w:val="0"/>
                <w:sz w:val="17"/>
              </w:rPr>
              <w:t>Profit Margin by Product/Category</w:t>
            </w:r>
          </w:p>
        </w:tc>
        <w:tc>
          <w:tcPr>
            <w:tcW w:type="dxa" w:w="3744"/>
            <w:vAlign w:val="center"/>
            <w:shd w:fill="F1F6FA"/>
          </w:tcPr>
          <w:p>
            <w:pPr>
              <w:spacing w:after="20"/>
            </w:pPr>
            <w:r/>
            <w:r>
              <w:rPr>
                <w:rFonts w:ascii="Aptos" w:hAnsi="Aptos"/>
                <w:b w:val="0"/>
                <w:sz w:val="17"/>
              </w:rPr>
              <w:t>[Total Profit] ÷ [Total Revenue].</w:t>
            </w:r>
          </w:p>
        </w:tc>
        <w:tc>
          <w:tcPr>
            <w:tcW w:type="dxa" w:w="4680"/>
            <w:vAlign w:val="center"/>
            <w:shd w:fill="F1F6FA"/>
          </w:tcPr>
          <w:p>
            <w:pPr>
              <w:spacing w:after="20"/>
            </w:pPr>
            <w:r/>
            <w:r>
              <w:rPr>
                <w:rFonts w:ascii="Aptos" w:hAnsi="Aptos"/>
                <w:b w:val="0"/>
                <w:sz w:val="17"/>
              </w:rPr>
              <w:t>Highlights low-margin items that may need pricing, promotion or cost review.</w:t>
            </w:r>
          </w:p>
        </w:tc>
      </w:tr>
      <w:tr>
        <w:tc>
          <w:tcPr>
            <w:tcW w:type="dxa" w:w="2232"/>
            <w:vAlign w:val="center"/>
          </w:tcPr>
          <w:p>
            <w:pPr>
              <w:spacing w:after="20"/>
            </w:pPr>
            <w:r/>
            <w:r>
              <w:rPr>
                <w:rFonts w:ascii="Aptos" w:hAnsi="Aptos"/>
                <w:b w:val="0"/>
                <w:sz w:val="17"/>
              </w:rPr>
              <w:t>Revenue Growth %</w:t>
            </w:r>
          </w:p>
        </w:tc>
        <w:tc>
          <w:tcPr>
            <w:tcW w:type="dxa" w:w="3744"/>
            <w:vAlign w:val="center"/>
          </w:tcPr>
          <w:p>
            <w:pPr>
              <w:spacing w:after="20"/>
            </w:pPr>
            <w:r/>
            <w:r>
              <w:rPr>
                <w:rFonts w:ascii="Aptos" w:hAnsi="Aptos"/>
                <w:b w:val="0"/>
                <w:sz w:val="17"/>
              </w:rPr>
              <w:t>(Current period revenue − previous period revenue) ÷ previous period revenue.</w:t>
            </w:r>
          </w:p>
        </w:tc>
        <w:tc>
          <w:tcPr>
            <w:tcW w:type="dxa" w:w="4680"/>
            <w:vAlign w:val="center"/>
          </w:tcPr>
          <w:p>
            <w:pPr>
              <w:spacing w:after="20"/>
            </w:pPr>
            <w:r/>
            <w:r>
              <w:rPr>
                <w:rFonts w:ascii="Aptos" w:hAnsi="Aptos"/>
                <w:b w:val="0"/>
                <w:sz w:val="17"/>
              </w:rPr>
              <w:t>Requires a valid date table and reliable transaction date.</w:t>
            </w:r>
          </w:p>
        </w:tc>
      </w:tr>
      <w:tr>
        <w:tc>
          <w:tcPr>
            <w:tcW w:type="dxa" w:w="2232"/>
            <w:vAlign w:val="center"/>
            <w:shd w:fill="F1F6FA"/>
          </w:tcPr>
          <w:p>
            <w:pPr>
              <w:spacing w:after="20"/>
            </w:pPr>
            <w:r/>
            <w:r>
              <w:rPr>
                <w:rFonts w:ascii="Aptos" w:hAnsi="Aptos"/>
                <w:b w:val="0"/>
                <w:sz w:val="17"/>
              </w:rPr>
              <w:t>On-time Delivery %</w:t>
            </w:r>
          </w:p>
        </w:tc>
        <w:tc>
          <w:tcPr>
            <w:tcW w:type="dxa" w:w="3744"/>
            <w:vAlign w:val="center"/>
            <w:shd w:fill="F1F6FA"/>
          </w:tcPr>
          <w:p>
            <w:pPr>
              <w:spacing w:after="20"/>
            </w:pPr>
            <w:r/>
            <w:r>
              <w:rPr>
                <w:rFonts w:ascii="Aptos" w:hAnsi="Aptos"/>
                <w:b w:val="0"/>
                <w:sz w:val="17"/>
              </w:rPr>
              <w:t>On-time delivered orders ÷ orders with a known delivery outcome × 100.</w:t>
            </w:r>
          </w:p>
        </w:tc>
        <w:tc>
          <w:tcPr>
            <w:tcW w:type="dxa" w:w="4680"/>
            <w:vAlign w:val="center"/>
            <w:shd w:fill="F1F6FA"/>
          </w:tcPr>
          <w:p>
            <w:pPr>
              <w:spacing w:after="20"/>
            </w:pPr>
            <w:r/>
            <w:r>
              <w:rPr>
                <w:rFonts w:ascii="Aptos" w:hAnsi="Aptos"/>
                <w:b w:val="0"/>
                <w:sz w:val="17"/>
              </w:rPr>
              <w:t>Only add if reliable delivery-status and expected/actual delivery dates exist.</w:t>
            </w:r>
          </w:p>
        </w:tc>
      </w:tr>
    </w:tbl>
    <w:p>
      <w:pPr>
        <w:spacing w:after="20"/>
      </w:pPr>
    </w:p>
    <w:p>
      <w:pPr>
        <w:pStyle w:val="Heading1"/>
      </w:pPr>
      <w:r>
        <w:t>5. Key Business Insights to Validate</w:t>
      </w:r>
    </w:p>
    <w:p>
      <w:pPr>
        <w:pStyle w:val="ListBullet"/>
      </w:pPr>
      <w:r>
        <w:t>Revenue and profit leaders may differ. Compare the revenue-by-product and profit-by-product visuals side by side.</w:t>
      </w:r>
    </w:p>
    <w:p>
      <w:pPr>
        <w:pStyle w:val="ListBullet"/>
      </w:pPr>
      <w:r>
        <w:t>A category with the largest revenue share is not automatically the most profitable category. Add profit and margin by category before making investment decisions.</w:t>
      </w:r>
    </w:p>
    <w:p>
      <w:pPr>
        <w:pStyle w:val="ListBullet"/>
      </w:pPr>
      <w:r>
        <w:t>Review the profit margin KPI alongside total profit. Margin is a ratio; total profit is an absolute amount, so both provide different information.</w:t>
      </w:r>
    </w:p>
    <w:p>
      <w:pPr>
        <w:pStyle w:val="ListBullet"/>
      </w:pPr>
      <w:r>
        <w:t>Investigate products with high revenue but low or negative profit. Confirm the cost allocation and check discounts, returns and data completeness before taking action.</w:t>
      </w:r>
    </w:p>
    <w:p>
      <w:pPr>
        <w:pStyle w:val="ListBullet"/>
      </w:pPr>
      <w:r>
        <w:t>Use filters consistently (date, category, product and geography if available) so the KPI cards and charts respond to the same report context.</w:t>
      </w:r>
    </w:p>
    <w:p>
      <w:pPr>
        <w:pStyle w:val="Heading1"/>
      </w:pPr>
      <w:r>
        <w:t>6. Data Validation and Reporting Controls</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193D63"/>
          </w:tcPr>
          <w:p>
            <w:pPr>
              <w:spacing w:after="20"/>
            </w:pPr>
            <w:r/>
            <w:r>
              <w:rPr>
                <w:rFonts w:ascii="Aptos" w:hAnsi="Aptos"/>
                <w:b/>
                <w:color w:val="FFFFFF"/>
                <w:sz w:val="18"/>
              </w:rPr>
              <w:t>Check</w:t>
            </w:r>
          </w:p>
        </w:tc>
        <w:tc>
          <w:tcPr>
            <w:tcW w:type="dxa" w:w="8424"/>
            <w:vAlign w:val="center"/>
            <w:shd w:fill="193D63"/>
          </w:tcPr>
          <w:p>
            <w:pPr>
              <w:spacing w:after="20"/>
            </w:pPr>
            <w:r/>
            <w:r>
              <w:rPr>
                <w:rFonts w:ascii="Aptos" w:hAnsi="Aptos"/>
                <w:b/>
                <w:color w:val="FFFFFF"/>
                <w:sz w:val="18"/>
              </w:rPr>
              <w:t>Validation action</w:t>
            </w:r>
          </w:p>
        </w:tc>
      </w:tr>
      <w:tr>
        <w:tc>
          <w:tcPr>
            <w:tcW w:type="dxa" w:w="2232"/>
            <w:vAlign w:val="center"/>
          </w:tcPr>
          <w:p>
            <w:pPr>
              <w:spacing w:after="20"/>
            </w:pPr>
            <w:r/>
            <w:r>
              <w:rPr>
                <w:rFonts w:ascii="Aptos" w:hAnsi="Aptos"/>
                <w:b w:val="0"/>
                <w:sz w:val="17"/>
              </w:rPr>
              <w:t>Revenue measure</w:t>
            </w:r>
          </w:p>
        </w:tc>
        <w:tc>
          <w:tcPr>
            <w:tcW w:type="dxa" w:w="8424"/>
            <w:vAlign w:val="center"/>
          </w:tcPr>
          <w:p>
            <w:pPr>
              <w:spacing w:after="20"/>
            </w:pPr>
            <w:r/>
            <w:r>
              <w:rPr>
                <w:rFonts w:ascii="Aptos" w:hAnsi="Aptos"/>
                <w:b w:val="0"/>
                <w:sz w:val="17"/>
              </w:rPr>
              <w:t>Confirm the existing [Total Revenue] measure sums the intended sales amount and does not double-count rows after relationships are applied.</w:t>
            </w:r>
          </w:p>
        </w:tc>
      </w:tr>
      <w:tr>
        <w:tc>
          <w:tcPr>
            <w:tcW w:type="dxa" w:w="2232"/>
            <w:vAlign w:val="center"/>
            <w:shd w:fill="F1F6FA"/>
          </w:tcPr>
          <w:p>
            <w:pPr>
              <w:spacing w:after="20"/>
            </w:pPr>
            <w:r/>
            <w:r>
              <w:rPr>
                <w:rFonts w:ascii="Aptos" w:hAnsi="Aptos"/>
                <w:b w:val="0"/>
                <w:sz w:val="17"/>
              </w:rPr>
              <w:t>Cost measure</w:t>
            </w:r>
          </w:p>
        </w:tc>
        <w:tc>
          <w:tcPr>
            <w:tcW w:type="dxa" w:w="8424"/>
            <w:vAlign w:val="center"/>
            <w:shd w:fill="F1F6FA"/>
          </w:tcPr>
          <w:p>
            <w:pPr>
              <w:spacing w:after="20"/>
            </w:pPr>
            <w:r/>
            <w:r>
              <w:rPr>
                <w:rFonts w:ascii="Aptos" w:hAnsi="Aptos"/>
                <w:b w:val="0"/>
                <w:sz w:val="17"/>
              </w:rPr>
              <w:t>Confirm the Cost field is populated, uses the correct currency, and is at a compatible transaction/product grain.</w:t>
            </w:r>
          </w:p>
        </w:tc>
      </w:tr>
      <w:tr>
        <w:tc>
          <w:tcPr>
            <w:tcW w:type="dxa" w:w="2232"/>
            <w:vAlign w:val="center"/>
          </w:tcPr>
          <w:p>
            <w:pPr>
              <w:spacing w:after="20"/>
            </w:pPr>
            <w:r/>
            <w:r>
              <w:rPr>
                <w:rFonts w:ascii="Aptos" w:hAnsi="Aptos"/>
                <w:b w:val="0"/>
                <w:sz w:val="17"/>
              </w:rPr>
              <w:t>Profit measure</w:t>
            </w:r>
          </w:p>
        </w:tc>
        <w:tc>
          <w:tcPr>
            <w:tcW w:type="dxa" w:w="8424"/>
            <w:vAlign w:val="center"/>
          </w:tcPr>
          <w:p>
            <w:pPr>
              <w:spacing w:after="20"/>
            </w:pPr>
            <w:r/>
            <w:r>
              <w:rPr>
                <w:rFonts w:ascii="Aptos" w:hAnsi="Aptos"/>
                <w:b w:val="0"/>
                <w:sz w:val="17"/>
              </w:rPr>
              <w:t>Check a few rows manually: revenue minus cost should equal profit under the agreed business definition.</w:t>
            </w:r>
          </w:p>
        </w:tc>
      </w:tr>
      <w:tr>
        <w:tc>
          <w:tcPr>
            <w:tcW w:type="dxa" w:w="2232"/>
            <w:vAlign w:val="center"/>
            <w:shd w:fill="F1F6FA"/>
          </w:tcPr>
          <w:p>
            <w:pPr>
              <w:spacing w:after="20"/>
            </w:pPr>
            <w:r/>
            <w:r>
              <w:rPr>
                <w:rFonts w:ascii="Aptos" w:hAnsi="Aptos"/>
                <w:b w:val="0"/>
                <w:sz w:val="17"/>
              </w:rPr>
              <w:t>Profit Margin</w:t>
            </w:r>
          </w:p>
        </w:tc>
        <w:tc>
          <w:tcPr>
            <w:tcW w:type="dxa" w:w="8424"/>
            <w:vAlign w:val="center"/>
            <w:shd w:fill="F1F6FA"/>
          </w:tcPr>
          <w:p>
            <w:pPr>
              <w:spacing w:after="20"/>
            </w:pPr>
            <w:r/>
            <w:r>
              <w:rPr>
                <w:rFonts w:ascii="Aptos" w:hAnsi="Aptos"/>
                <w:b w:val="0"/>
                <w:sz w:val="17"/>
              </w:rPr>
              <w:t>Confirm the measure divides total profit by total revenue; avoid averaging row-level margin percentages unless that is explicitly intended.</w:t>
            </w:r>
          </w:p>
        </w:tc>
      </w:tr>
      <w:tr>
        <w:tc>
          <w:tcPr>
            <w:tcW w:type="dxa" w:w="2232"/>
            <w:vAlign w:val="center"/>
          </w:tcPr>
          <w:p>
            <w:pPr>
              <w:spacing w:after="20"/>
            </w:pPr>
            <w:r/>
            <w:r>
              <w:rPr>
                <w:rFonts w:ascii="Aptos" w:hAnsi="Aptos"/>
                <w:b w:val="0"/>
                <w:sz w:val="17"/>
              </w:rPr>
              <w:t>Relationships</w:t>
            </w:r>
          </w:p>
        </w:tc>
        <w:tc>
          <w:tcPr>
            <w:tcW w:type="dxa" w:w="8424"/>
            <w:vAlign w:val="center"/>
          </w:tcPr>
          <w:p>
            <w:pPr>
              <w:spacing w:after="20"/>
            </w:pPr>
            <w:r/>
            <w:r>
              <w:rPr>
                <w:rFonts w:ascii="Aptos" w:hAnsi="Aptos"/>
                <w:b w:val="0"/>
                <w:sz w:val="17"/>
              </w:rPr>
              <w:t>Check relationships between fact and dimension tables, filter direction and duplicate keys; verify totals against source data.</w:t>
            </w:r>
          </w:p>
        </w:tc>
      </w:tr>
      <w:tr>
        <w:tc>
          <w:tcPr>
            <w:tcW w:type="dxa" w:w="2232"/>
            <w:vAlign w:val="center"/>
            <w:shd w:fill="F1F6FA"/>
          </w:tcPr>
          <w:p>
            <w:pPr>
              <w:spacing w:after="20"/>
            </w:pPr>
            <w:r/>
            <w:r>
              <w:rPr>
                <w:rFonts w:ascii="Aptos" w:hAnsi="Aptos"/>
                <w:b w:val="0"/>
                <w:sz w:val="17"/>
              </w:rPr>
              <w:t>Filters and refresh</w:t>
            </w:r>
          </w:p>
        </w:tc>
        <w:tc>
          <w:tcPr>
            <w:tcW w:type="dxa" w:w="8424"/>
            <w:vAlign w:val="center"/>
            <w:shd w:fill="F1F6FA"/>
          </w:tcPr>
          <w:p>
            <w:pPr>
              <w:spacing w:after="20"/>
            </w:pPr>
            <w:r/>
            <w:r>
              <w:rPr>
                <w:rFonts w:ascii="Aptos" w:hAnsi="Aptos"/>
                <w:b w:val="0"/>
                <w:sz w:val="17"/>
              </w:rPr>
              <w:t>Refresh the model, clear unintended filters, and check that all KPI cards update consistently.</w:t>
            </w:r>
          </w:p>
        </w:tc>
      </w:tr>
      <w:tr>
        <w:tc>
          <w:tcPr>
            <w:tcW w:type="dxa" w:w="2232"/>
            <w:vAlign w:val="center"/>
          </w:tcPr>
          <w:p>
            <w:pPr>
              <w:spacing w:after="20"/>
            </w:pPr>
            <w:r/>
            <w:r>
              <w:rPr>
                <w:rFonts w:ascii="Aptos" w:hAnsi="Aptos"/>
                <w:b w:val="0"/>
                <w:sz w:val="17"/>
              </w:rPr>
              <w:t>Visual clarity</w:t>
            </w:r>
          </w:p>
        </w:tc>
        <w:tc>
          <w:tcPr>
            <w:tcW w:type="dxa" w:w="8424"/>
            <w:vAlign w:val="center"/>
          </w:tcPr>
          <w:p>
            <w:pPr>
              <w:spacing w:after="20"/>
            </w:pPr>
            <w:r/>
            <w:r>
              <w:rPr>
                <w:rFonts w:ascii="Aptos" w:hAnsi="Aptos"/>
                <w:b w:val="0"/>
                <w:sz w:val="17"/>
              </w:rPr>
              <w:t>Use meaningful chart titles, sorted bars, readable currency labels and a time axis for trend visuals.</w:t>
            </w:r>
          </w:p>
        </w:tc>
      </w:tr>
    </w:tbl>
    <w:p>
      <w:pPr>
        <w:spacing w:after="20"/>
      </w:pPr>
    </w:p>
    <w:p>
      <w:pPr>
        <w:pStyle w:val="Heading1"/>
      </w:pPr>
      <w:r>
        <w:t>7. Suggested DAX Measures (Adapt to Your Model)</w:t>
      </w:r>
    </w:p>
    <w:p>
      <w:r>
        <w:t>The PBIX already references measures named [Total Revenue], [Total Cost], [Total Profit] and [Profit Margin]. Prefer validating and reusing those measures. If you need to create them, adapt the table/column names to the actual model:</w:t>
      </w:r>
    </w:p>
    <w:p>
      <w:pPr>
        <w:spacing w:after="40"/>
        <w:ind w:left="360"/>
      </w:pPr>
      <w:r>
        <w:rPr>
          <w:rFonts w:ascii="Consolas" w:hAnsi="Consolas"/>
          <w:color w:val="2D465A"/>
          <w:sz w:val="18"/>
        </w:rPr>
        <w:t>Total Revenue = SUM(Sales[Revenue])</w:t>
      </w:r>
    </w:p>
    <w:p>
      <w:pPr>
        <w:spacing w:after="40"/>
        <w:ind w:left="360"/>
      </w:pPr>
      <w:r>
        <w:rPr>
          <w:rFonts w:ascii="Consolas" w:hAnsi="Consolas"/>
          <w:color w:val="2D465A"/>
          <w:sz w:val="18"/>
        </w:rPr>
        <w:t>Total Cost = SUM(Sales[Cost])</w:t>
      </w:r>
    </w:p>
    <w:p>
      <w:pPr>
        <w:spacing w:after="40"/>
        <w:ind w:left="360"/>
      </w:pPr>
      <w:r>
        <w:rPr>
          <w:rFonts w:ascii="Consolas" w:hAnsi="Consolas"/>
          <w:color w:val="2D465A"/>
          <w:sz w:val="18"/>
        </w:rPr>
        <w:t>Total Profit = [Total Revenue] - [Total Cost]</w:t>
      </w:r>
    </w:p>
    <w:p>
      <w:pPr>
        <w:spacing w:after="40"/>
        <w:ind w:left="360"/>
      </w:pPr>
      <w:r>
        <w:rPr>
          <w:rFonts w:ascii="Consolas" w:hAnsi="Consolas"/>
          <w:color w:val="2D465A"/>
          <w:sz w:val="18"/>
        </w:rPr>
        <w:t>Profit Margin = DIVIDE([Total Profit], [Total Revenue], 0)</w:t>
      </w:r>
    </w:p>
    <w:p>
      <w:pPr>
        <w:spacing w:after="40"/>
        <w:ind w:left="360"/>
      </w:pPr>
      <w:r>
        <w:rPr>
          <w:rFonts w:ascii="Consolas" w:hAnsi="Consolas"/>
          <w:color w:val="2D465A"/>
          <w:sz w:val="18"/>
        </w:rPr>
        <w:t>Order Count = DISTINCTCOUNT(Sales[Order ID])</w:t>
      </w:r>
    </w:p>
    <w:p>
      <w:pPr>
        <w:spacing w:after="40"/>
        <w:ind w:left="360"/>
      </w:pPr>
      <w:r>
        <w:rPr>
          <w:rFonts w:ascii="Consolas" w:hAnsi="Consolas"/>
          <w:color w:val="2D465A"/>
          <w:sz w:val="18"/>
        </w:rPr>
        <w:t>Average Order Value = DIVIDE([Total Revenue], [Order Count], 0)</w:t>
      </w:r>
    </w:p>
    <w:p>
      <w:r>
        <w:t>These are templates, not guaranteed drop-in formulas: the exact column names in your semantic model may differ. Do not create duplicate measures if equivalent measures already exist.</w:t>
      </w:r>
    </w:p>
    <w:p>
      <w:pPr>
        <w:pStyle w:val="Heading1"/>
      </w:pPr>
      <w:r>
        <w:t>8. Recommended Next Steps</w:t>
      </w:r>
    </w:p>
    <w:p>
      <w:pPr>
        <w:pStyle w:val="ListNumber"/>
      </w:pPr>
      <w:r>
        <w:t>Open 01.pbix in Power BI Desktop and refresh the model.</w:t>
      </w:r>
    </w:p>
    <w:p>
      <w:pPr>
        <w:pStyle w:val="ListNumber"/>
      </w:pPr>
      <w:r>
        <w:t>Record the actual values shown on the four KPI cards after refresh.</w:t>
      </w:r>
    </w:p>
    <w:p>
      <w:pPr>
        <w:pStyle w:val="ListNumber"/>
      </w:pPr>
      <w:r>
        <w:t>Verify Total Profit against Total Revenue minus Total Cost for at least one filtered selection.</w:t>
      </w:r>
    </w:p>
    <w:p>
      <w:pPr>
        <w:pStyle w:val="ListNumber"/>
      </w:pPr>
      <w:r>
        <w:t>Improve the Revenue VS Cost visual if Cost is used as a category axis; a date/month trend or a direct Revenue-versus-Cost comparison is generally easier to interpret.</w:t>
      </w:r>
    </w:p>
    <w:p>
      <w:pPr>
        <w:pStyle w:val="ListNumber"/>
      </w:pPr>
      <w:r>
        <w:t>Add a date slicer and a category slicer if the underlying model supports them.</w:t>
      </w:r>
    </w:p>
    <w:p>
      <w:pPr>
        <w:pStyle w:val="ListNumber"/>
      </w:pPr>
      <w:r>
        <w:t>Export the refreshed report page to PDF or capture a screenshot and insert it into this document if a visual snapshot is required.</w:t>
      </w:r>
    </w:p>
    <w:p>
      <w:pPr>
        <w:pStyle w:val="Heading1"/>
      </w:pPr>
      <w:r>
        <w:t>Conclusion</w:t>
      </w:r>
    </w:p>
    <w:p>
      <w:r>
        <w:t>The dashboard already contains the core financial KPI set needed for a sales performance overview: revenue, cost, profit and margin. The next priority is to validate the measure logic and actual values, then use product/category comparisons to explain the drivers behind those KPIs. Numeric findings should only be published after the PBIX is refreshed and checked against the source data.</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Prepared from the uploaded Power BI report definition • Validate KPI values after refresh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978"/>
        <w:sz w:val="16"/>
      </w:rPr>
      <w:t>SALES PERFORMANCE DASHBOARD  |  KPI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D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D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