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5546" w:rsidRDefault="005324B9">
      <w:pPr>
        <w:pStyle w:val="Heading1"/>
        <w:spacing w:before="187"/>
        <w:ind w:left="2228"/>
      </w:pPr>
      <w:bookmarkStart w:id="0" w:name="_bookmark0"/>
      <w:bookmarkStart w:id="1" w:name="_GoBack"/>
      <w:bookmarkEnd w:id="0"/>
      <w:bookmarkEnd w:id="1"/>
      <w:r>
        <w:rPr>
          <w:color w:val="0A5293"/>
        </w:rPr>
        <w:t>STATEMENT OF WORK</w:t>
      </w:r>
    </w:p>
    <w:p w:rsidR="00DB5546" w:rsidRDefault="00DB5546">
      <w:pPr>
        <w:pStyle w:val="BodyText"/>
        <w:rPr>
          <w:sz w:val="20"/>
        </w:rPr>
      </w:pPr>
    </w:p>
    <w:p w:rsidR="00DB5546" w:rsidRDefault="00DB5546">
      <w:pPr>
        <w:pStyle w:val="BodyText"/>
        <w:rPr>
          <w:sz w:val="20"/>
        </w:rPr>
      </w:pPr>
    </w:p>
    <w:p w:rsidR="00DB5546" w:rsidRDefault="00DB5546">
      <w:pPr>
        <w:pStyle w:val="BodyText"/>
        <w:rPr>
          <w:sz w:val="20"/>
        </w:rPr>
      </w:pPr>
    </w:p>
    <w:p w:rsidR="00DB5546" w:rsidRDefault="00DB5546">
      <w:pPr>
        <w:pStyle w:val="BodyText"/>
        <w:spacing w:before="6"/>
      </w:pPr>
    </w:p>
    <w:p w:rsidR="00DB5546" w:rsidRDefault="005324B9">
      <w:pPr>
        <w:pStyle w:val="BodyText"/>
        <w:spacing w:before="114"/>
        <w:ind w:left="100"/>
      </w:pPr>
      <w:commentRangeStart w:id="2"/>
      <w:r w:rsidRPr="00526611">
        <w:rPr>
          <w:highlight w:val="yellow"/>
        </w:rPr>
        <w:t>CONTRACT ID: R3435-T3090</w:t>
      </w:r>
      <w:commentRangeEnd w:id="2"/>
      <w:r w:rsidR="00526611">
        <w:rPr>
          <w:rStyle w:val="CommentReference"/>
        </w:rPr>
        <w:commentReference w:id="2"/>
      </w:r>
    </w:p>
    <w:p w:rsidR="00DB5546" w:rsidRDefault="00DB5546">
      <w:pPr>
        <w:pStyle w:val="BodyText"/>
        <w:rPr>
          <w:sz w:val="24"/>
        </w:rPr>
      </w:pPr>
    </w:p>
    <w:p w:rsidR="00DB5546" w:rsidRDefault="00DB5546">
      <w:pPr>
        <w:pStyle w:val="BodyText"/>
        <w:rPr>
          <w:sz w:val="24"/>
        </w:rPr>
      </w:pPr>
    </w:p>
    <w:p w:rsidR="00DB5546" w:rsidRDefault="005324B9">
      <w:pPr>
        <w:pStyle w:val="BodyText"/>
        <w:spacing w:before="155"/>
        <w:ind w:left="100"/>
      </w:pPr>
      <w:commentRangeStart w:id="3"/>
      <w:r w:rsidRPr="00526611">
        <w:rPr>
          <w:highlight w:val="yellow"/>
        </w:rPr>
        <w:t>DATE OF CONTRACT: 28 November 2020</w:t>
      </w:r>
      <w:commentRangeEnd w:id="3"/>
      <w:r w:rsidR="005F3A31">
        <w:rPr>
          <w:rStyle w:val="CommentReference"/>
        </w:rPr>
        <w:commentReference w:id="3"/>
      </w:r>
    </w:p>
    <w:p w:rsidR="00DB5546" w:rsidRDefault="005324B9">
      <w:pPr>
        <w:pStyle w:val="BodyText"/>
        <w:spacing w:before="10"/>
        <w:rPr>
          <w:sz w:val="22"/>
        </w:rPr>
      </w:pPr>
      <w:r>
        <w:rPr>
          <w:noProof/>
        </w:rPr>
        <w:drawing>
          <wp:anchor distT="0" distB="0" distL="0" distR="0" simplePos="0" relativeHeight="251658240" behindDoc="0" locked="0" layoutInCell="1" allowOverlap="1">
            <wp:simplePos x="0" y="0"/>
            <wp:positionH relativeFrom="page">
              <wp:posOffset>2568069</wp:posOffset>
            </wp:positionH>
            <wp:positionV relativeFrom="paragraph">
              <wp:posOffset>190652</wp:posOffset>
            </wp:positionV>
            <wp:extent cx="2420983" cy="770001"/>
            <wp:effectExtent l="0" t="0" r="0" b="0"/>
            <wp:wrapTopAndBottom/>
            <wp:docPr id="1" name="image1.png" descr="Acme Markets - Wiki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2420983" cy="770001"/>
                    </a:xfrm>
                    <a:prstGeom prst="rect">
                      <a:avLst/>
                    </a:prstGeom>
                  </pic:spPr>
                </pic:pic>
              </a:graphicData>
            </a:graphic>
          </wp:anchor>
        </w:drawing>
      </w:r>
    </w:p>
    <w:p w:rsidR="00DB5546" w:rsidRDefault="00DB5546">
      <w:pPr>
        <w:pStyle w:val="BodyText"/>
        <w:spacing w:before="5"/>
        <w:rPr>
          <w:sz w:val="24"/>
        </w:rPr>
      </w:pPr>
    </w:p>
    <w:p w:rsidR="00DB5546" w:rsidRDefault="005324B9">
      <w:pPr>
        <w:pStyle w:val="BodyText"/>
        <w:spacing w:line="477" w:lineRule="auto"/>
        <w:ind w:left="100" w:right="7044"/>
      </w:pPr>
      <w:r>
        <w:t xml:space="preserve">FOR: ACME Company PREPARED BY: </w:t>
      </w:r>
      <w:proofErr w:type="spellStart"/>
      <w:r>
        <w:t>Globex</w:t>
      </w:r>
      <w:proofErr w:type="spellEnd"/>
    </w:p>
    <w:p w:rsidR="00DB5546" w:rsidRDefault="00DB5546">
      <w:pPr>
        <w:pStyle w:val="BodyText"/>
        <w:rPr>
          <w:sz w:val="24"/>
        </w:rPr>
      </w:pPr>
    </w:p>
    <w:p w:rsidR="00DB5546" w:rsidRDefault="005324B9">
      <w:pPr>
        <w:pStyle w:val="BodyText"/>
        <w:spacing w:line="316" w:lineRule="auto"/>
        <w:ind w:left="100" w:right="472"/>
      </w:pPr>
      <w:bookmarkStart w:id="4" w:name="_bookmark3"/>
      <w:bookmarkEnd w:id="4"/>
      <w:commentRangeStart w:id="5"/>
      <w:r w:rsidRPr="00205D57">
        <w:rPr>
          <w:highlight w:val="yellow"/>
        </w:rPr>
        <w:t>ACME</w:t>
      </w:r>
      <w:commentRangeEnd w:id="5"/>
      <w:r w:rsidR="000563A5">
        <w:rPr>
          <w:rStyle w:val="CommentReference"/>
        </w:rPr>
        <w:commentReference w:id="5"/>
      </w:r>
      <w:r>
        <w:t xml:space="preserve"> is an existing </w:t>
      </w:r>
      <w:commentRangeStart w:id="6"/>
      <w:r w:rsidRPr="00205D57">
        <w:rPr>
          <w:highlight w:val="yellow"/>
        </w:rPr>
        <w:t>SaaS customer</w:t>
      </w:r>
      <w:commentRangeEnd w:id="6"/>
      <w:r w:rsidR="000563A5">
        <w:rPr>
          <w:rStyle w:val="CommentReference"/>
        </w:rPr>
        <w:commentReference w:id="6"/>
      </w:r>
      <w:r>
        <w:t xml:space="preserve">. In order to link tickets together to a root problem and be able to respond to those linked tickets in a single step, as well as providing ITIL methodology directives, </w:t>
      </w:r>
      <w:proofErr w:type="spellStart"/>
      <w:r w:rsidRPr="00205D57">
        <w:rPr>
          <w:highlight w:val="yellow"/>
        </w:rPr>
        <w:t>Globex</w:t>
      </w:r>
      <w:proofErr w:type="spellEnd"/>
      <w:r>
        <w:t xml:space="preserve"> has provided a prototype configuration and </w:t>
      </w:r>
      <w:proofErr w:type="spellStart"/>
      <w:r>
        <w:t>customisation</w:t>
      </w:r>
      <w:proofErr w:type="spellEnd"/>
      <w:r>
        <w:t xml:space="preserve"> in order to ac</w:t>
      </w:r>
      <w:r w:rsidR="00205D57">
        <w:t xml:space="preserve">hieve the desired functionality effective from </w:t>
      </w:r>
      <w:commentRangeStart w:id="7"/>
      <w:r w:rsidR="00205D57" w:rsidRPr="00E83E43">
        <w:rPr>
          <w:rFonts w:asciiTheme="minorHAnsi" w:hAnsiTheme="minorHAnsi" w:cstheme="minorHAnsi"/>
          <w:w w:val="0"/>
          <w:sz w:val="20"/>
          <w:szCs w:val="20"/>
          <w:highlight w:val="yellow"/>
        </w:rPr>
        <w:t>October 01,</w:t>
      </w:r>
      <w:r w:rsidR="00205D57" w:rsidRPr="00E83E43">
        <w:rPr>
          <w:rFonts w:asciiTheme="minorHAnsi" w:hAnsiTheme="minorHAnsi" w:cstheme="minorHAnsi"/>
          <w:spacing w:val="-12"/>
          <w:w w:val="0"/>
          <w:sz w:val="20"/>
          <w:szCs w:val="20"/>
          <w:highlight w:val="yellow"/>
        </w:rPr>
        <w:t xml:space="preserve"> </w:t>
      </w:r>
      <w:r w:rsidR="00205D57" w:rsidRPr="00E83E43">
        <w:rPr>
          <w:rFonts w:asciiTheme="minorHAnsi" w:hAnsiTheme="minorHAnsi" w:cstheme="minorHAnsi"/>
          <w:w w:val="0"/>
          <w:sz w:val="20"/>
          <w:szCs w:val="20"/>
          <w:highlight w:val="yellow"/>
        </w:rPr>
        <w:t>2021’</w:t>
      </w:r>
      <w:r w:rsidR="001342CB">
        <w:rPr>
          <w:rFonts w:asciiTheme="minorHAnsi" w:hAnsiTheme="minorHAnsi" w:cstheme="minorHAnsi"/>
          <w:w w:val="0"/>
          <w:sz w:val="20"/>
          <w:szCs w:val="20"/>
        </w:rPr>
        <w:t xml:space="preserve"> </w:t>
      </w:r>
      <w:commentRangeEnd w:id="7"/>
      <w:r w:rsidR="009A1398">
        <w:rPr>
          <w:rStyle w:val="CommentReference"/>
        </w:rPr>
        <w:commentReference w:id="7"/>
      </w:r>
    </w:p>
    <w:p w:rsidR="00DB5546" w:rsidRDefault="005324B9">
      <w:pPr>
        <w:pStyle w:val="BodyText"/>
        <w:spacing w:before="160" w:line="314" w:lineRule="auto"/>
        <w:ind w:left="100" w:right="724"/>
      </w:pPr>
      <w:r>
        <w:t>A further project was undertaken to include additional enhancements linked to this work and these have been provided in a test environment to prove the additional functionality.</w:t>
      </w:r>
    </w:p>
    <w:p w:rsidR="00DB5546" w:rsidRDefault="005324B9">
      <w:pPr>
        <w:pStyle w:val="BodyText"/>
        <w:spacing w:before="163" w:line="316" w:lineRule="auto"/>
        <w:ind w:left="100" w:right="573"/>
      </w:pPr>
      <w:proofErr w:type="gramStart"/>
      <w:r>
        <w:t>ACME have</w:t>
      </w:r>
      <w:proofErr w:type="gramEnd"/>
      <w:r>
        <w:t xml:space="preserve"> approved the functionality of the prototype and require migration of the ticket management functionality into the production</w:t>
      </w:r>
      <w:r>
        <w:rPr>
          <w:spacing w:val="-11"/>
        </w:rPr>
        <w:t xml:space="preserve"> </w:t>
      </w:r>
      <w:r>
        <w:t>environment.</w:t>
      </w:r>
    </w:p>
    <w:p w:rsidR="00DB5546" w:rsidRDefault="005324B9">
      <w:pPr>
        <w:pStyle w:val="BodyText"/>
        <w:spacing w:before="161" w:line="314" w:lineRule="auto"/>
        <w:ind w:left="100" w:right="911"/>
      </w:pPr>
      <w:r>
        <w:t>In addition, there is a requirement to provide management information in the form of a custom report for the functionality relating to ticket</w:t>
      </w:r>
      <w:r>
        <w:rPr>
          <w:spacing w:val="-14"/>
        </w:rPr>
        <w:t xml:space="preserve"> </w:t>
      </w:r>
      <w:r>
        <w:t>linking.</w:t>
      </w:r>
    </w:p>
    <w:p w:rsidR="00DB5546" w:rsidRDefault="00DB5546">
      <w:pPr>
        <w:pStyle w:val="BodyText"/>
        <w:spacing w:before="5"/>
        <w:rPr>
          <w:sz w:val="29"/>
        </w:rPr>
      </w:pPr>
    </w:p>
    <w:p w:rsidR="00DB5546" w:rsidRDefault="005324B9" w:rsidP="00257861">
      <w:pPr>
        <w:pStyle w:val="Heading1"/>
        <w:ind w:left="0" w:right="2504"/>
        <w:jc w:val="left"/>
      </w:pPr>
      <w:bookmarkStart w:id="8" w:name="_bookmark4"/>
      <w:bookmarkEnd w:id="8"/>
      <w:r>
        <w:rPr>
          <w:color w:val="0A5293"/>
        </w:rPr>
        <w:t>Solution Overview</w:t>
      </w:r>
    </w:p>
    <w:p w:rsidR="00DB5546" w:rsidRDefault="005324B9">
      <w:pPr>
        <w:pStyle w:val="BodyText"/>
        <w:spacing w:before="95" w:line="316" w:lineRule="auto"/>
        <w:ind w:left="100" w:right="449"/>
      </w:pPr>
      <w:proofErr w:type="spellStart"/>
      <w:r>
        <w:t>Globex</w:t>
      </w:r>
      <w:proofErr w:type="spellEnd"/>
      <w:r>
        <w:t xml:space="preserve"> has provided the description of the services to be performed in the Deliverables section below. Further requirements and or customizations defined or requested by Customer after baseline acceptance of this Statement of Work could change the scope of this project and will be managed according to the Change Management process defined in the Change Management Appendix.</w:t>
      </w:r>
    </w:p>
    <w:p w:rsidR="00DB5546" w:rsidRDefault="005324B9">
      <w:pPr>
        <w:pStyle w:val="Heading3"/>
        <w:spacing w:before="152"/>
      </w:pPr>
      <w:r>
        <w:t>The solution will eventually comprise:</w:t>
      </w:r>
    </w:p>
    <w:p w:rsidR="00DB5546" w:rsidRDefault="00DB5546">
      <w:pPr>
        <w:pStyle w:val="BodyText"/>
        <w:spacing w:before="10"/>
        <w:rPr>
          <w:b/>
          <w:sz w:val="19"/>
        </w:rPr>
      </w:pPr>
    </w:p>
    <w:p w:rsidR="00DB5546" w:rsidRDefault="005324B9">
      <w:pPr>
        <w:pStyle w:val="BodyText"/>
        <w:spacing w:line="316" w:lineRule="auto"/>
        <w:ind w:left="100" w:right="1604"/>
      </w:pPr>
      <w:proofErr w:type="spellStart"/>
      <w:r>
        <w:t>Customisation</w:t>
      </w:r>
      <w:proofErr w:type="spellEnd"/>
      <w:r>
        <w:t xml:space="preserve"> and Configuration functionality from Prototype to the production environment</w:t>
      </w:r>
    </w:p>
    <w:p w:rsidR="00DB5546" w:rsidRDefault="005324B9">
      <w:pPr>
        <w:pStyle w:val="BodyText"/>
        <w:spacing w:before="160"/>
        <w:ind w:left="100"/>
      </w:pPr>
      <w:r>
        <w:t xml:space="preserve">Custom Reports for the new configuration / </w:t>
      </w:r>
      <w:proofErr w:type="spellStart"/>
      <w:r>
        <w:t>customisation</w:t>
      </w:r>
      <w:proofErr w:type="spellEnd"/>
    </w:p>
    <w:p w:rsidR="00DB5546" w:rsidRDefault="00DB5546">
      <w:pPr>
        <w:pStyle w:val="BodyText"/>
        <w:spacing w:before="1"/>
        <w:rPr>
          <w:sz w:val="20"/>
        </w:rPr>
      </w:pPr>
    </w:p>
    <w:p w:rsidR="00DB5546" w:rsidRDefault="005324B9">
      <w:pPr>
        <w:pStyle w:val="Heading3"/>
      </w:pPr>
      <w:r>
        <w:t>Regional Interface and Language Requirements</w:t>
      </w:r>
    </w:p>
    <w:p w:rsidR="00DB5546" w:rsidRDefault="00DB5546">
      <w:pPr>
        <w:pStyle w:val="BodyText"/>
        <w:spacing w:before="10"/>
        <w:rPr>
          <w:b/>
          <w:sz w:val="18"/>
        </w:rPr>
      </w:pPr>
    </w:p>
    <w:p w:rsidR="00DB5546" w:rsidRDefault="005324B9">
      <w:pPr>
        <w:pStyle w:val="ListParagraph"/>
        <w:numPr>
          <w:ilvl w:val="0"/>
          <w:numId w:val="5"/>
        </w:numPr>
        <w:tabs>
          <w:tab w:val="left" w:pos="820"/>
          <w:tab w:val="left" w:pos="821"/>
          <w:tab w:val="left" w:pos="2260"/>
        </w:tabs>
        <w:ind w:hanging="361"/>
        <w:rPr>
          <w:sz w:val="21"/>
        </w:rPr>
      </w:pPr>
      <w:r>
        <w:rPr>
          <w:sz w:val="21"/>
        </w:rPr>
        <w:lastRenderedPageBreak/>
        <w:t>acme</w:t>
      </w:r>
      <w:r>
        <w:rPr>
          <w:sz w:val="21"/>
        </w:rPr>
        <w:tab/>
        <w:t>:</w:t>
      </w:r>
      <w:r>
        <w:rPr>
          <w:spacing w:val="-2"/>
          <w:sz w:val="21"/>
        </w:rPr>
        <w:t xml:space="preserve"> </w:t>
      </w:r>
      <w:proofErr w:type="spellStart"/>
      <w:r>
        <w:rPr>
          <w:sz w:val="21"/>
        </w:rPr>
        <w:t>en_GB</w:t>
      </w:r>
      <w:proofErr w:type="spellEnd"/>
    </w:p>
    <w:p w:rsidR="00DB5546" w:rsidRDefault="005324B9">
      <w:pPr>
        <w:pStyle w:val="Heading3"/>
        <w:spacing w:before="227"/>
      </w:pPr>
      <w:r>
        <w:t>Functional Scope:</w:t>
      </w:r>
    </w:p>
    <w:p w:rsidR="00DB5546" w:rsidRDefault="00DB5546">
      <w:pPr>
        <w:pStyle w:val="BodyText"/>
        <w:spacing w:before="10"/>
        <w:rPr>
          <w:b/>
          <w:sz w:val="18"/>
        </w:rPr>
      </w:pPr>
    </w:p>
    <w:p w:rsidR="00DB5546" w:rsidRDefault="005324B9">
      <w:pPr>
        <w:pStyle w:val="ListParagraph"/>
        <w:numPr>
          <w:ilvl w:val="0"/>
          <w:numId w:val="5"/>
        </w:numPr>
        <w:tabs>
          <w:tab w:val="left" w:pos="820"/>
          <w:tab w:val="left" w:pos="821"/>
        </w:tabs>
        <w:ind w:hanging="361"/>
        <w:rPr>
          <w:sz w:val="21"/>
        </w:rPr>
      </w:pPr>
      <w:r>
        <w:rPr>
          <w:sz w:val="21"/>
        </w:rPr>
        <w:t>Migration of</w:t>
      </w:r>
      <w:r>
        <w:rPr>
          <w:spacing w:val="-3"/>
          <w:sz w:val="21"/>
        </w:rPr>
        <w:t xml:space="preserve"> </w:t>
      </w:r>
      <w:proofErr w:type="spellStart"/>
      <w:r>
        <w:rPr>
          <w:sz w:val="21"/>
        </w:rPr>
        <w:t>customisations</w:t>
      </w:r>
      <w:proofErr w:type="spellEnd"/>
    </w:p>
    <w:p w:rsidR="00DB5546" w:rsidRDefault="005324B9">
      <w:pPr>
        <w:pStyle w:val="ListParagraph"/>
        <w:numPr>
          <w:ilvl w:val="0"/>
          <w:numId w:val="5"/>
        </w:numPr>
        <w:tabs>
          <w:tab w:val="left" w:pos="820"/>
          <w:tab w:val="left" w:pos="821"/>
        </w:tabs>
        <w:spacing w:before="62"/>
        <w:ind w:hanging="361"/>
        <w:rPr>
          <w:sz w:val="21"/>
        </w:rPr>
      </w:pPr>
      <w:r>
        <w:rPr>
          <w:sz w:val="21"/>
        </w:rPr>
        <w:t>Custom</w:t>
      </w:r>
      <w:r>
        <w:rPr>
          <w:spacing w:val="-2"/>
          <w:sz w:val="21"/>
        </w:rPr>
        <w:t xml:space="preserve"> </w:t>
      </w:r>
      <w:r>
        <w:rPr>
          <w:sz w:val="21"/>
        </w:rPr>
        <w:t>report</w:t>
      </w:r>
    </w:p>
    <w:p w:rsidR="00DB5546" w:rsidRDefault="00DB5546">
      <w:pPr>
        <w:pStyle w:val="BodyText"/>
        <w:rPr>
          <w:sz w:val="26"/>
        </w:rPr>
      </w:pPr>
    </w:p>
    <w:p w:rsidR="00DB5546" w:rsidRDefault="005324B9">
      <w:pPr>
        <w:pStyle w:val="Heading3"/>
        <w:spacing w:before="1"/>
      </w:pPr>
      <w:r>
        <w:t xml:space="preserve">The proposed process for the </w:t>
      </w:r>
      <w:proofErr w:type="spellStart"/>
      <w:r>
        <w:t>Globex</w:t>
      </w:r>
      <w:proofErr w:type="spellEnd"/>
      <w:r>
        <w:t xml:space="preserve"> delivery is:</w:t>
      </w:r>
    </w:p>
    <w:p w:rsidR="00DB5546" w:rsidRDefault="00DB5546"/>
    <w:p w:rsidR="00DB5546" w:rsidRDefault="005324B9">
      <w:pPr>
        <w:pStyle w:val="ListParagraph"/>
        <w:numPr>
          <w:ilvl w:val="0"/>
          <w:numId w:val="5"/>
        </w:numPr>
        <w:tabs>
          <w:tab w:val="left" w:pos="820"/>
          <w:tab w:val="left" w:pos="821"/>
        </w:tabs>
        <w:spacing w:before="92"/>
        <w:ind w:hanging="361"/>
        <w:rPr>
          <w:sz w:val="21"/>
        </w:rPr>
      </w:pPr>
      <w:r>
        <w:rPr>
          <w:sz w:val="21"/>
        </w:rPr>
        <w:t>Project</w:t>
      </w:r>
      <w:r>
        <w:rPr>
          <w:spacing w:val="-3"/>
          <w:sz w:val="21"/>
        </w:rPr>
        <w:t xml:space="preserve"> </w:t>
      </w:r>
      <w:r>
        <w:rPr>
          <w:sz w:val="21"/>
        </w:rPr>
        <w:t>Management</w:t>
      </w:r>
    </w:p>
    <w:p w:rsidR="00DB5546" w:rsidRDefault="005324B9">
      <w:pPr>
        <w:pStyle w:val="ListParagraph"/>
        <w:numPr>
          <w:ilvl w:val="0"/>
          <w:numId w:val="5"/>
        </w:numPr>
        <w:tabs>
          <w:tab w:val="left" w:pos="820"/>
          <w:tab w:val="left" w:pos="821"/>
        </w:tabs>
        <w:spacing w:before="62"/>
        <w:ind w:hanging="361"/>
        <w:rPr>
          <w:sz w:val="21"/>
        </w:rPr>
      </w:pPr>
      <w:r>
        <w:rPr>
          <w:sz w:val="21"/>
        </w:rPr>
        <w:t>Application</w:t>
      </w:r>
      <w:r>
        <w:rPr>
          <w:spacing w:val="-1"/>
          <w:sz w:val="21"/>
        </w:rPr>
        <w:t xml:space="preserve"> </w:t>
      </w:r>
      <w:r>
        <w:rPr>
          <w:sz w:val="21"/>
        </w:rPr>
        <w:t>Development</w:t>
      </w:r>
    </w:p>
    <w:p w:rsidR="00DB5546" w:rsidRDefault="005324B9">
      <w:pPr>
        <w:pStyle w:val="ListParagraph"/>
        <w:numPr>
          <w:ilvl w:val="0"/>
          <w:numId w:val="5"/>
        </w:numPr>
        <w:tabs>
          <w:tab w:val="left" w:pos="820"/>
          <w:tab w:val="left" w:pos="821"/>
        </w:tabs>
        <w:spacing w:before="62"/>
        <w:ind w:hanging="361"/>
        <w:rPr>
          <w:sz w:val="21"/>
        </w:rPr>
      </w:pPr>
      <w:r>
        <w:rPr>
          <w:sz w:val="21"/>
        </w:rPr>
        <w:t>Quality Assurance</w:t>
      </w:r>
      <w:r>
        <w:rPr>
          <w:spacing w:val="-5"/>
          <w:sz w:val="21"/>
        </w:rPr>
        <w:t xml:space="preserve"> </w:t>
      </w:r>
      <w:r>
        <w:rPr>
          <w:sz w:val="21"/>
        </w:rPr>
        <w:t>Testing</w:t>
      </w:r>
    </w:p>
    <w:p w:rsidR="00DB5546" w:rsidRDefault="005324B9">
      <w:pPr>
        <w:pStyle w:val="ListParagraph"/>
        <w:numPr>
          <w:ilvl w:val="0"/>
          <w:numId w:val="5"/>
        </w:numPr>
        <w:tabs>
          <w:tab w:val="left" w:pos="820"/>
          <w:tab w:val="left" w:pos="821"/>
        </w:tabs>
        <w:spacing w:before="64"/>
        <w:ind w:hanging="361"/>
        <w:rPr>
          <w:sz w:val="21"/>
        </w:rPr>
      </w:pPr>
      <w:r>
        <w:rPr>
          <w:sz w:val="21"/>
        </w:rPr>
        <w:t>Support for</w:t>
      </w:r>
      <w:r>
        <w:rPr>
          <w:spacing w:val="-6"/>
          <w:sz w:val="21"/>
        </w:rPr>
        <w:t xml:space="preserve"> </w:t>
      </w:r>
      <w:r>
        <w:rPr>
          <w:sz w:val="21"/>
        </w:rPr>
        <w:t>Users</w:t>
      </w:r>
    </w:p>
    <w:p w:rsidR="00DB5546" w:rsidRDefault="00DB5546">
      <w:pPr>
        <w:pStyle w:val="BodyText"/>
        <w:spacing w:before="6"/>
        <w:rPr>
          <w:sz w:val="24"/>
        </w:rPr>
      </w:pPr>
    </w:p>
    <w:p w:rsidR="00DB5546" w:rsidRDefault="005324B9" w:rsidP="00257861">
      <w:pPr>
        <w:pStyle w:val="Heading1"/>
        <w:spacing w:before="126"/>
        <w:ind w:left="0"/>
        <w:jc w:val="left"/>
      </w:pPr>
      <w:bookmarkStart w:id="9" w:name="_bookmark5"/>
      <w:bookmarkEnd w:id="9"/>
      <w:r>
        <w:rPr>
          <w:color w:val="0A5293"/>
        </w:rPr>
        <w:t>Project Deliverables</w:t>
      </w:r>
    </w:p>
    <w:p w:rsidR="00DB5546" w:rsidRDefault="005324B9">
      <w:pPr>
        <w:pStyle w:val="BodyText"/>
        <w:spacing w:before="94" w:line="307" w:lineRule="auto"/>
        <w:ind w:left="100" w:right="580"/>
        <w:rPr>
          <w:b/>
        </w:rPr>
      </w:pPr>
      <w:r>
        <w:t>The following section defines and explains the key deliverables for this Consulting services engagement</w:t>
      </w:r>
      <w:r>
        <w:rPr>
          <w:b/>
        </w:rPr>
        <w:t>.</w:t>
      </w:r>
    </w:p>
    <w:p w:rsidR="00DB5546" w:rsidRDefault="005324B9" w:rsidP="00257861">
      <w:pPr>
        <w:pStyle w:val="Heading2"/>
        <w:spacing w:before="175"/>
        <w:ind w:left="0"/>
        <w:jc w:val="left"/>
      </w:pPr>
      <w:bookmarkStart w:id="10" w:name="_bookmark6"/>
      <w:bookmarkEnd w:id="10"/>
      <w:r>
        <w:t>Project Management</w:t>
      </w:r>
    </w:p>
    <w:p w:rsidR="00DB5546" w:rsidRDefault="005324B9">
      <w:pPr>
        <w:pStyle w:val="BodyText"/>
        <w:spacing w:before="52" w:line="316" w:lineRule="auto"/>
        <w:ind w:left="100" w:right="402"/>
      </w:pPr>
      <w:proofErr w:type="spellStart"/>
      <w:r>
        <w:t>Globex’s</w:t>
      </w:r>
      <w:proofErr w:type="spellEnd"/>
      <w:r>
        <w:t xml:space="preserve"> </w:t>
      </w:r>
      <w:hyperlink r:id="rId10">
        <w:r>
          <w:rPr>
            <w:color w:val="000080"/>
            <w:u w:val="single" w:color="000080"/>
          </w:rPr>
          <w:t>Project Manager</w:t>
        </w:r>
        <w:r>
          <w:rPr>
            <w:color w:val="000080"/>
          </w:rPr>
          <w:t xml:space="preserve"> </w:t>
        </w:r>
      </w:hyperlink>
      <w:r>
        <w:t xml:space="preserve">(PM) will be responsible for managing the level of effort associated with this Statement of Work. The PM will develop the Project Plan which describes the tasks, activities, </w:t>
      </w:r>
      <w:hyperlink r:id="rId11">
        <w:r>
          <w:rPr>
            <w:color w:val="000080"/>
            <w:u w:val="single" w:color="000080"/>
          </w:rPr>
          <w:t>milestones</w:t>
        </w:r>
        <w:r>
          <w:rPr>
            <w:color w:val="000080"/>
          </w:rPr>
          <w:t xml:space="preserve"> </w:t>
        </w:r>
      </w:hyperlink>
      <w:r>
        <w:t xml:space="preserve">and timelines associated with this engagement. The </w:t>
      </w:r>
      <w:hyperlink r:id="rId12">
        <w:r>
          <w:rPr>
            <w:color w:val="000080"/>
            <w:u w:val="single" w:color="000080"/>
          </w:rPr>
          <w:t>Project</w:t>
        </w:r>
      </w:hyperlink>
      <w:r>
        <w:rPr>
          <w:color w:val="000080"/>
        </w:rPr>
        <w:t xml:space="preserve"> </w:t>
      </w:r>
      <w:hyperlink r:id="rId13">
        <w:r>
          <w:rPr>
            <w:color w:val="000080"/>
            <w:u w:val="single" w:color="000080"/>
          </w:rPr>
          <w:t>Manager</w:t>
        </w:r>
        <w:r>
          <w:rPr>
            <w:color w:val="000080"/>
          </w:rPr>
          <w:t xml:space="preserve"> </w:t>
        </w:r>
      </w:hyperlink>
      <w:r>
        <w:t xml:space="preserve">will maintain a </w:t>
      </w:r>
      <w:hyperlink r:id="rId14">
        <w:r>
          <w:rPr>
            <w:color w:val="000080"/>
            <w:u w:val="single" w:color="000080"/>
          </w:rPr>
          <w:t>risks</w:t>
        </w:r>
      </w:hyperlink>
      <w:r>
        <w:t xml:space="preserve">/issues log and record project progress in the form of weekly status reports. A Delivery Manager will have responsibility for delivery assurance and will serve as an escalation point of contact for the </w:t>
      </w:r>
      <w:hyperlink r:id="rId15">
        <w:r>
          <w:rPr>
            <w:color w:val="000080"/>
            <w:u w:val="single" w:color="000080"/>
          </w:rPr>
          <w:t>project team</w:t>
        </w:r>
      </w:hyperlink>
      <w:r>
        <w:t>.</w:t>
      </w:r>
    </w:p>
    <w:p w:rsidR="00DB5546" w:rsidRDefault="005324B9">
      <w:pPr>
        <w:pStyle w:val="BodyText"/>
        <w:spacing w:before="160" w:line="316" w:lineRule="auto"/>
        <w:ind w:left="100" w:right="503"/>
      </w:pPr>
      <w:r>
        <w:t xml:space="preserve">The Customer will designate one person to serve as </w:t>
      </w:r>
      <w:hyperlink r:id="rId16">
        <w:r>
          <w:rPr>
            <w:color w:val="000080"/>
            <w:u w:val="single" w:color="000080"/>
          </w:rPr>
          <w:t>Project Manager</w:t>
        </w:r>
      </w:hyperlink>
      <w:proofErr w:type="gramStart"/>
      <w:r>
        <w:t>..</w:t>
      </w:r>
      <w:proofErr w:type="gramEnd"/>
    </w:p>
    <w:p w:rsidR="00DB5546" w:rsidRDefault="005324B9">
      <w:pPr>
        <w:pStyle w:val="Heading3"/>
        <w:spacing w:before="153"/>
      </w:pPr>
      <w:r>
        <w:t>Deliverables:</w:t>
      </w:r>
    </w:p>
    <w:p w:rsidR="00DB5546" w:rsidRDefault="00DB5546">
      <w:pPr>
        <w:pStyle w:val="BodyText"/>
        <w:spacing w:before="5"/>
        <w:rPr>
          <w:b/>
          <w:sz w:val="19"/>
        </w:rPr>
      </w:pPr>
    </w:p>
    <w:p w:rsidR="00DB5546" w:rsidRDefault="005324B9">
      <w:pPr>
        <w:pStyle w:val="BodyText"/>
        <w:spacing w:line="309" w:lineRule="auto"/>
        <w:ind w:left="100" w:right="472"/>
      </w:pPr>
      <w:r>
        <w:rPr>
          <w:b/>
        </w:rPr>
        <w:t xml:space="preserve">Project Plan: </w:t>
      </w:r>
      <w:r>
        <w:t xml:space="preserve">documents project activities, ownership of those activities, </w:t>
      </w:r>
      <w:hyperlink r:id="rId17">
        <w:r>
          <w:rPr>
            <w:color w:val="000080"/>
            <w:u w:val="single" w:color="000080"/>
          </w:rPr>
          <w:t>milestones</w:t>
        </w:r>
      </w:hyperlink>
      <w:r>
        <w:t xml:space="preserve">, </w:t>
      </w:r>
      <w:hyperlink r:id="rId18">
        <w:r>
          <w:rPr>
            <w:color w:val="000080"/>
            <w:u w:val="single" w:color="000080"/>
          </w:rPr>
          <w:t>schedule</w:t>
        </w:r>
      </w:hyperlink>
      <w:r>
        <w:t>, and dependencies.</w:t>
      </w:r>
    </w:p>
    <w:p w:rsidR="00DB5546" w:rsidRDefault="005324B9" w:rsidP="00257861">
      <w:pPr>
        <w:pStyle w:val="Heading2"/>
        <w:spacing w:before="175"/>
        <w:ind w:left="0"/>
        <w:jc w:val="left"/>
      </w:pPr>
      <w:bookmarkStart w:id="11" w:name="_bookmark7"/>
      <w:bookmarkEnd w:id="11"/>
      <w:r>
        <w:t>Development</w:t>
      </w:r>
    </w:p>
    <w:p w:rsidR="00DB5546" w:rsidRDefault="005324B9">
      <w:pPr>
        <w:pStyle w:val="BodyText"/>
        <w:spacing w:before="52" w:line="316" w:lineRule="auto"/>
        <w:ind w:left="100" w:right="550"/>
      </w:pPr>
      <w:proofErr w:type="spellStart"/>
      <w:r>
        <w:t>Globex</w:t>
      </w:r>
      <w:proofErr w:type="spellEnd"/>
      <w:r>
        <w:t xml:space="preserve"> developer will </w:t>
      </w:r>
      <w:proofErr w:type="gramStart"/>
      <w:r>
        <w:t>migrate</w:t>
      </w:r>
      <w:proofErr w:type="gramEnd"/>
      <w:r>
        <w:t xml:space="preserve"> the required </w:t>
      </w:r>
      <w:proofErr w:type="spellStart"/>
      <w:r>
        <w:t>customisations</w:t>
      </w:r>
      <w:proofErr w:type="spellEnd"/>
      <w:r>
        <w:t xml:space="preserve"> from the prototype environment to the production environment according to the project plan.</w:t>
      </w:r>
    </w:p>
    <w:p w:rsidR="00DB5546" w:rsidRDefault="005324B9" w:rsidP="00257861">
      <w:pPr>
        <w:pStyle w:val="Heading2"/>
        <w:spacing w:before="169"/>
        <w:ind w:left="0"/>
        <w:jc w:val="left"/>
      </w:pPr>
      <w:bookmarkStart w:id="12" w:name="_bookmark8"/>
      <w:bookmarkEnd w:id="12"/>
      <w:r>
        <w:t>Quality Assurance</w:t>
      </w:r>
    </w:p>
    <w:p w:rsidR="00DB5546" w:rsidRDefault="005324B9">
      <w:pPr>
        <w:pStyle w:val="BodyText"/>
        <w:spacing w:before="52" w:line="314" w:lineRule="auto"/>
        <w:ind w:left="100" w:right="770"/>
      </w:pPr>
      <w:proofErr w:type="spellStart"/>
      <w:r>
        <w:t>Globex</w:t>
      </w:r>
      <w:proofErr w:type="spellEnd"/>
      <w:r>
        <w:t xml:space="preserve"> will test the system as identified in the Project Plan and will certify the system is ready for Acceptance Testing.</w:t>
      </w:r>
    </w:p>
    <w:p w:rsidR="00DB5546" w:rsidRDefault="005324B9">
      <w:pPr>
        <w:pStyle w:val="BodyText"/>
        <w:spacing w:before="166" w:line="316" w:lineRule="auto"/>
        <w:ind w:left="100" w:right="425"/>
      </w:pPr>
      <w:r>
        <w:t xml:space="preserve">ACME will be responsible for acceptance testing against its business requirements. This includes test planning and management, </w:t>
      </w:r>
      <w:hyperlink r:id="rId19">
        <w:r>
          <w:rPr>
            <w:color w:val="000080"/>
            <w:u w:val="single" w:color="000080"/>
          </w:rPr>
          <w:t>test case</w:t>
        </w:r>
        <w:r>
          <w:rPr>
            <w:color w:val="000080"/>
          </w:rPr>
          <w:t xml:space="preserve"> </w:t>
        </w:r>
      </w:hyperlink>
      <w:r>
        <w:t>development, and execution of acceptance tests</w:t>
      </w:r>
      <w:r w:rsidR="00257861">
        <w:t>.</w:t>
      </w:r>
    </w:p>
    <w:p w:rsidR="00DB5546" w:rsidRDefault="005324B9" w:rsidP="00257861">
      <w:pPr>
        <w:pStyle w:val="Heading2"/>
        <w:spacing w:before="167"/>
        <w:ind w:left="0"/>
        <w:jc w:val="left"/>
      </w:pPr>
      <w:bookmarkStart w:id="13" w:name="_bookmark9"/>
      <w:bookmarkEnd w:id="13"/>
      <w:r>
        <w:t>Administration Support</w:t>
      </w:r>
    </w:p>
    <w:p w:rsidR="00DB5546" w:rsidRDefault="005324B9">
      <w:pPr>
        <w:pStyle w:val="BodyText"/>
        <w:spacing w:before="52" w:line="314" w:lineRule="auto"/>
        <w:ind w:left="100" w:right="1339"/>
      </w:pPr>
      <w:proofErr w:type="spellStart"/>
      <w:r>
        <w:t>Globex</w:t>
      </w:r>
      <w:proofErr w:type="spellEnd"/>
      <w:r>
        <w:t xml:space="preserve"> will provide support to ACME to the point of a successful deployment of the functional changes as agreed in the Project Plan.</w:t>
      </w:r>
    </w:p>
    <w:p w:rsidR="00DB5546" w:rsidRDefault="00DB5546">
      <w:pPr>
        <w:spacing w:line="314" w:lineRule="auto"/>
        <w:sectPr w:rsidR="00DB5546">
          <w:headerReference w:type="default" r:id="rId20"/>
          <w:footerReference w:type="default" r:id="rId21"/>
          <w:pgSz w:w="11910" w:h="16840"/>
          <w:pgMar w:top="1340" w:right="1060" w:bottom="1200" w:left="1340" w:header="838" w:footer="1014" w:gutter="0"/>
          <w:cols w:space="720"/>
        </w:sectPr>
      </w:pPr>
    </w:p>
    <w:p w:rsidR="00DB5546" w:rsidRDefault="005324B9" w:rsidP="00257861">
      <w:pPr>
        <w:pStyle w:val="Heading2"/>
        <w:ind w:left="0"/>
        <w:jc w:val="left"/>
      </w:pPr>
      <w:bookmarkStart w:id="14" w:name="_bookmark10"/>
      <w:bookmarkEnd w:id="14"/>
      <w:r>
        <w:lastRenderedPageBreak/>
        <w:t>Custom Report</w:t>
      </w:r>
    </w:p>
    <w:p w:rsidR="00DB5546" w:rsidRDefault="005324B9">
      <w:pPr>
        <w:pStyle w:val="BodyText"/>
        <w:spacing w:before="52" w:line="316" w:lineRule="auto"/>
        <w:ind w:left="100" w:right="635"/>
      </w:pPr>
      <w:proofErr w:type="spellStart"/>
      <w:r>
        <w:t>Globex</w:t>
      </w:r>
      <w:proofErr w:type="spellEnd"/>
      <w:r>
        <w:t xml:space="preserve"> consultant will provide ACME with one standard </w:t>
      </w:r>
      <w:proofErr w:type="spellStart"/>
      <w:r>
        <w:t>Globex</w:t>
      </w:r>
      <w:proofErr w:type="spellEnd"/>
      <w:r>
        <w:t xml:space="preserve"> report as described in the Project plan and is likely to include the filters and columns.</w:t>
      </w:r>
    </w:p>
    <w:p w:rsidR="00DB5546" w:rsidRDefault="00DB5546">
      <w:pPr>
        <w:pStyle w:val="BodyText"/>
        <w:spacing w:before="8"/>
        <w:rPr>
          <w:sz w:val="20"/>
        </w:rPr>
      </w:pPr>
    </w:p>
    <w:p w:rsidR="00DB5546" w:rsidRDefault="000B1732" w:rsidP="00257861">
      <w:pPr>
        <w:pStyle w:val="Heading1"/>
        <w:spacing w:before="116"/>
        <w:ind w:left="0" w:right="2504"/>
        <w:jc w:val="left"/>
      </w:pPr>
      <w:hyperlink r:id="rId22">
        <w:r w:rsidR="005324B9">
          <w:rPr>
            <w:color w:val="000080"/>
            <w:u w:val="single" w:color="000080"/>
          </w:rPr>
          <w:t>Risks</w:t>
        </w:r>
      </w:hyperlink>
    </w:p>
    <w:p w:rsidR="00DB5546" w:rsidRDefault="000B1732">
      <w:pPr>
        <w:pStyle w:val="BodyText"/>
        <w:spacing w:before="94" w:line="316" w:lineRule="auto"/>
        <w:ind w:left="100" w:right="432"/>
      </w:pPr>
      <w:hyperlink r:id="rId23">
        <w:r w:rsidR="005324B9">
          <w:rPr>
            <w:color w:val="000080"/>
            <w:u w:val="single" w:color="000080"/>
          </w:rPr>
          <w:t>Risk Assessment</w:t>
        </w:r>
        <w:r w:rsidR="005324B9">
          <w:rPr>
            <w:color w:val="000080"/>
          </w:rPr>
          <w:t xml:space="preserve"> </w:t>
        </w:r>
      </w:hyperlink>
      <w:r w:rsidR="005324B9">
        <w:t xml:space="preserve">is a process to identify, </w:t>
      </w:r>
      <w:proofErr w:type="spellStart"/>
      <w:r w:rsidR="005324B9">
        <w:t>analyse</w:t>
      </w:r>
      <w:proofErr w:type="spellEnd"/>
      <w:r w:rsidR="005324B9">
        <w:t xml:space="preserve">, plan, track and control </w:t>
      </w:r>
      <w:hyperlink r:id="rId24">
        <w:r w:rsidR="005324B9">
          <w:rPr>
            <w:color w:val="000080"/>
            <w:u w:val="single" w:color="000080"/>
          </w:rPr>
          <w:t>risks</w:t>
        </w:r>
        <w:r w:rsidR="005324B9">
          <w:rPr>
            <w:color w:val="000080"/>
          </w:rPr>
          <w:t xml:space="preserve"> </w:t>
        </w:r>
      </w:hyperlink>
      <w:r w:rsidR="005324B9">
        <w:t xml:space="preserve">related to the implementation of or integration with the </w:t>
      </w:r>
      <w:proofErr w:type="spellStart"/>
      <w:r w:rsidR="005324B9">
        <w:t>Globex</w:t>
      </w:r>
      <w:proofErr w:type="spellEnd"/>
      <w:r w:rsidR="005324B9">
        <w:t xml:space="preserve"> Software. There are potential </w:t>
      </w:r>
      <w:hyperlink r:id="rId25">
        <w:r w:rsidR="005324B9">
          <w:rPr>
            <w:color w:val="000080"/>
            <w:u w:val="single" w:color="000080"/>
          </w:rPr>
          <w:t>risks</w:t>
        </w:r>
      </w:hyperlink>
      <w:r w:rsidR="005324B9">
        <w:rPr>
          <w:color w:val="000080"/>
        </w:rPr>
        <w:t xml:space="preserve"> </w:t>
      </w:r>
      <w:r w:rsidR="005324B9">
        <w:t xml:space="preserve">associated with the project that need to be addressed via a mitigation strategy. Below are the identified </w:t>
      </w:r>
      <w:hyperlink r:id="rId26">
        <w:r w:rsidR="005324B9">
          <w:rPr>
            <w:color w:val="000080"/>
            <w:u w:val="single" w:color="000080"/>
          </w:rPr>
          <w:t>risks</w:t>
        </w:r>
        <w:r w:rsidR="005324B9">
          <w:rPr>
            <w:color w:val="000080"/>
          </w:rPr>
          <w:t xml:space="preserve"> </w:t>
        </w:r>
      </w:hyperlink>
      <w:r w:rsidR="005324B9">
        <w:t>associated with this project:</w:t>
      </w:r>
    </w:p>
    <w:p w:rsidR="00DB5546" w:rsidRDefault="00DB5546">
      <w:pPr>
        <w:pStyle w:val="BodyText"/>
        <w:spacing w:before="9"/>
        <w:rPr>
          <w:sz w:val="12"/>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0"/>
        <w:gridCol w:w="6188"/>
      </w:tblGrid>
      <w:tr w:rsidR="00DB5546">
        <w:trPr>
          <w:trHeight w:val="253"/>
        </w:trPr>
        <w:tc>
          <w:tcPr>
            <w:tcW w:w="2830" w:type="dxa"/>
          </w:tcPr>
          <w:p w:rsidR="00DB5546" w:rsidRDefault="005324B9">
            <w:pPr>
              <w:pStyle w:val="TableParagraph"/>
              <w:spacing w:before="7" w:line="227" w:lineRule="exact"/>
              <w:rPr>
                <w:b/>
                <w:sz w:val="21"/>
              </w:rPr>
            </w:pPr>
            <w:r>
              <w:rPr>
                <w:b/>
                <w:sz w:val="21"/>
              </w:rPr>
              <w:t>Risk</w:t>
            </w:r>
          </w:p>
        </w:tc>
        <w:tc>
          <w:tcPr>
            <w:tcW w:w="6188" w:type="dxa"/>
          </w:tcPr>
          <w:p w:rsidR="00DB5546" w:rsidRDefault="005324B9">
            <w:pPr>
              <w:pStyle w:val="TableParagraph"/>
              <w:spacing w:before="7" w:line="227" w:lineRule="exact"/>
              <w:rPr>
                <w:b/>
                <w:sz w:val="21"/>
              </w:rPr>
            </w:pPr>
            <w:r>
              <w:rPr>
                <w:b/>
                <w:sz w:val="21"/>
              </w:rPr>
              <w:t>Mitigation</w:t>
            </w:r>
          </w:p>
        </w:tc>
      </w:tr>
      <w:tr w:rsidR="00DB5546">
        <w:trPr>
          <w:trHeight w:val="251"/>
        </w:trPr>
        <w:tc>
          <w:tcPr>
            <w:tcW w:w="2830" w:type="dxa"/>
          </w:tcPr>
          <w:p w:rsidR="00DB5546" w:rsidRPr="000563A5" w:rsidRDefault="005324B9">
            <w:pPr>
              <w:pStyle w:val="TableParagraph"/>
              <w:spacing w:line="219" w:lineRule="exact"/>
              <w:rPr>
                <w:sz w:val="21"/>
              </w:rPr>
            </w:pPr>
            <w:r w:rsidRPr="000563A5">
              <w:rPr>
                <w:sz w:val="21"/>
              </w:rPr>
              <w:t>Adoption of the software</w:t>
            </w:r>
          </w:p>
        </w:tc>
        <w:tc>
          <w:tcPr>
            <w:tcW w:w="6188" w:type="dxa"/>
          </w:tcPr>
          <w:p w:rsidR="00DB5546" w:rsidRPr="000563A5" w:rsidRDefault="005324B9">
            <w:pPr>
              <w:pStyle w:val="TableParagraph"/>
              <w:spacing w:line="219" w:lineRule="exact"/>
              <w:rPr>
                <w:sz w:val="21"/>
              </w:rPr>
            </w:pPr>
            <w:proofErr w:type="spellStart"/>
            <w:r w:rsidRPr="000563A5">
              <w:rPr>
                <w:sz w:val="21"/>
              </w:rPr>
              <w:t>Globex</w:t>
            </w:r>
            <w:proofErr w:type="spellEnd"/>
            <w:r w:rsidRPr="000563A5">
              <w:rPr>
                <w:sz w:val="21"/>
              </w:rPr>
              <w:t xml:space="preserve"> will assist with promotion of the tool and training.</w:t>
            </w:r>
          </w:p>
        </w:tc>
      </w:tr>
      <w:tr w:rsidR="00DB5546">
        <w:trPr>
          <w:trHeight w:val="506"/>
        </w:trPr>
        <w:tc>
          <w:tcPr>
            <w:tcW w:w="2830" w:type="dxa"/>
          </w:tcPr>
          <w:p w:rsidR="00DB5546" w:rsidRPr="000563A5" w:rsidRDefault="005324B9">
            <w:pPr>
              <w:pStyle w:val="TableParagraph"/>
              <w:spacing w:before="4" w:line="252" w:lineRule="exact"/>
              <w:ind w:right="911"/>
              <w:rPr>
                <w:sz w:val="21"/>
              </w:rPr>
            </w:pPr>
            <w:r w:rsidRPr="000563A5">
              <w:rPr>
                <w:sz w:val="21"/>
              </w:rPr>
              <w:t>Deployment of the changes</w:t>
            </w:r>
          </w:p>
        </w:tc>
        <w:tc>
          <w:tcPr>
            <w:tcW w:w="6188" w:type="dxa"/>
          </w:tcPr>
          <w:p w:rsidR="00DB5546" w:rsidRPr="000563A5" w:rsidRDefault="005324B9">
            <w:pPr>
              <w:pStyle w:val="TableParagraph"/>
              <w:spacing w:before="4" w:line="252" w:lineRule="exact"/>
              <w:ind w:right="897"/>
              <w:rPr>
                <w:sz w:val="21"/>
              </w:rPr>
            </w:pPr>
            <w:proofErr w:type="spellStart"/>
            <w:r w:rsidRPr="000563A5">
              <w:rPr>
                <w:sz w:val="21"/>
              </w:rPr>
              <w:t>Globex</w:t>
            </w:r>
            <w:proofErr w:type="spellEnd"/>
            <w:r w:rsidRPr="000563A5">
              <w:rPr>
                <w:sz w:val="21"/>
              </w:rPr>
              <w:t xml:space="preserve"> will monitor the deployment of the integrated solution and adjust the project plan as necessary.</w:t>
            </w:r>
          </w:p>
        </w:tc>
      </w:tr>
      <w:tr w:rsidR="00DB5546">
        <w:trPr>
          <w:trHeight w:val="501"/>
        </w:trPr>
        <w:tc>
          <w:tcPr>
            <w:tcW w:w="2830" w:type="dxa"/>
          </w:tcPr>
          <w:p w:rsidR="00DB5546" w:rsidRPr="000563A5" w:rsidRDefault="005324B9">
            <w:pPr>
              <w:pStyle w:val="TableParagraph"/>
              <w:spacing w:before="10"/>
              <w:rPr>
                <w:sz w:val="21"/>
              </w:rPr>
            </w:pPr>
            <w:r w:rsidRPr="000563A5">
              <w:rPr>
                <w:sz w:val="21"/>
              </w:rPr>
              <w:t>Resource availability</w:t>
            </w:r>
          </w:p>
        </w:tc>
        <w:tc>
          <w:tcPr>
            <w:tcW w:w="6188" w:type="dxa"/>
          </w:tcPr>
          <w:p w:rsidR="00DB5546" w:rsidRPr="000563A5" w:rsidRDefault="005324B9">
            <w:pPr>
              <w:pStyle w:val="TableParagraph"/>
              <w:spacing w:before="2" w:line="252" w:lineRule="exact"/>
              <w:ind w:right="579"/>
              <w:rPr>
                <w:sz w:val="21"/>
              </w:rPr>
            </w:pPr>
            <w:r w:rsidRPr="000563A5">
              <w:rPr>
                <w:sz w:val="21"/>
              </w:rPr>
              <w:t>Secure approval from project sponsors to support project through completion.</w:t>
            </w:r>
          </w:p>
        </w:tc>
      </w:tr>
      <w:tr w:rsidR="00DB5546">
        <w:trPr>
          <w:trHeight w:val="250"/>
        </w:trPr>
        <w:tc>
          <w:tcPr>
            <w:tcW w:w="2830" w:type="dxa"/>
          </w:tcPr>
          <w:p w:rsidR="00DB5546" w:rsidRDefault="00DB5546">
            <w:pPr>
              <w:pStyle w:val="TableParagraph"/>
              <w:spacing w:before="0"/>
              <w:ind w:left="0"/>
              <w:rPr>
                <w:rFonts w:ascii="Times New Roman"/>
                <w:sz w:val="18"/>
              </w:rPr>
            </w:pPr>
          </w:p>
        </w:tc>
        <w:tc>
          <w:tcPr>
            <w:tcW w:w="6188" w:type="dxa"/>
          </w:tcPr>
          <w:p w:rsidR="00DB5546" w:rsidRDefault="00DB5546">
            <w:pPr>
              <w:pStyle w:val="TableParagraph"/>
              <w:spacing w:before="0"/>
              <w:ind w:left="0"/>
              <w:rPr>
                <w:rFonts w:ascii="Times New Roman"/>
                <w:sz w:val="18"/>
              </w:rPr>
            </w:pPr>
          </w:p>
        </w:tc>
      </w:tr>
    </w:tbl>
    <w:p w:rsidR="00DB5546" w:rsidRDefault="00DB5546">
      <w:pPr>
        <w:pStyle w:val="BodyText"/>
        <w:rPr>
          <w:sz w:val="24"/>
        </w:rPr>
      </w:pPr>
    </w:p>
    <w:p w:rsidR="00DB5546" w:rsidRDefault="00DB5546">
      <w:pPr>
        <w:pStyle w:val="BodyText"/>
        <w:spacing w:before="10"/>
        <w:rPr>
          <w:sz w:val="33"/>
        </w:rPr>
      </w:pPr>
    </w:p>
    <w:p w:rsidR="00DB5546" w:rsidRDefault="005324B9" w:rsidP="00257861">
      <w:pPr>
        <w:pStyle w:val="Heading1"/>
        <w:ind w:left="0"/>
        <w:jc w:val="left"/>
      </w:pPr>
      <w:bookmarkStart w:id="15" w:name="_bookmark11"/>
      <w:bookmarkEnd w:id="15"/>
      <w:r>
        <w:rPr>
          <w:color w:val="0A5293"/>
        </w:rPr>
        <w:t>Assumptions</w:t>
      </w:r>
    </w:p>
    <w:p w:rsidR="00DB5546" w:rsidRDefault="005324B9">
      <w:pPr>
        <w:pStyle w:val="BodyText"/>
        <w:spacing w:before="92" w:line="252" w:lineRule="auto"/>
        <w:ind w:left="100" w:right="472"/>
      </w:pPr>
      <w:r>
        <w:t>Assumptions are factors used for planning purposes that are considered true, real, or certain. Assumptions help define scope and determine level of effort and timeframes.</w:t>
      </w:r>
    </w:p>
    <w:p w:rsidR="00DB5546" w:rsidRDefault="00DB5546">
      <w:pPr>
        <w:pStyle w:val="BodyText"/>
        <w:spacing w:before="5"/>
        <w:rPr>
          <w:sz w:val="34"/>
        </w:rPr>
      </w:pPr>
    </w:p>
    <w:p w:rsidR="00DB5546" w:rsidRDefault="005324B9">
      <w:pPr>
        <w:pStyle w:val="Heading2"/>
        <w:spacing w:before="0"/>
      </w:pPr>
      <w:bookmarkStart w:id="16" w:name="_bookmark12"/>
      <w:bookmarkEnd w:id="16"/>
      <w:r>
        <w:t>Overall project assumptions</w:t>
      </w:r>
    </w:p>
    <w:p w:rsidR="00DB5546" w:rsidRDefault="005324B9">
      <w:pPr>
        <w:pStyle w:val="ListParagraph"/>
        <w:numPr>
          <w:ilvl w:val="0"/>
          <w:numId w:val="4"/>
        </w:numPr>
        <w:tabs>
          <w:tab w:val="left" w:pos="821"/>
        </w:tabs>
        <w:spacing w:before="49" w:line="316" w:lineRule="auto"/>
        <w:ind w:right="1163"/>
        <w:rPr>
          <w:sz w:val="21"/>
        </w:rPr>
      </w:pPr>
      <w:r>
        <w:rPr>
          <w:sz w:val="21"/>
        </w:rPr>
        <w:t>This project assumes instances will be involved in this project in the following languages:</w:t>
      </w:r>
      <w:r>
        <w:rPr>
          <w:spacing w:val="-4"/>
          <w:sz w:val="21"/>
        </w:rPr>
        <w:t xml:space="preserve"> </w:t>
      </w:r>
      <w:r>
        <w:rPr>
          <w:sz w:val="21"/>
        </w:rPr>
        <w:t>English</w:t>
      </w:r>
    </w:p>
    <w:p w:rsidR="00DB5546" w:rsidRDefault="005324B9">
      <w:pPr>
        <w:pStyle w:val="ListParagraph"/>
        <w:numPr>
          <w:ilvl w:val="0"/>
          <w:numId w:val="4"/>
        </w:numPr>
        <w:tabs>
          <w:tab w:val="left" w:pos="821"/>
        </w:tabs>
        <w:spacing w:line="239" w:lineRule="exact"/>
        <w:ind w:hanging="361"/>
        <w:rPr>
          <w:sz w:val="21"/>
        </w:rPr>
      </w:pPr>
      <w:r>
        <w:rPr>
          <w:sz w:val="21"/>
        </w:rPr>
        <w:t>The Services included in this Statement of Work will be performed:</w:t>
      </w:r>
      <w:r>
        <w:rPr>
          <w:spacing w:val="-15"/>
          <w:sz w:val="21"/>
        </w:rPr>
        <w:t xml:space="preserve"> </w:t>
      </w:r>
      <w:r>
        <w:rPr>
          <w:sz w:val="21"/>
        </w:rPr>
        <w:t>Offsite</w:t>
      </w:r>
    </w:p>
    <w:p w:rsidR="00DB5546" w:rsidRDefault="005324B9">
      <w:pPr>
        <w:pStyle w:val="ListParagraph"/>
        <w:numPr>
          <w:ilvl w:val="0"/>
          <w:numId w:val="4"/>
        </w:numPr>
        <w:tabs>
          <w:tab w:val="left" w:pos="821"/>
        </w:tabs>
        <w:spacing w:before="76" w:line="316" w:lineRule="auto"/>
        <w:ind w:right="731"/>
        <w:rPr>
          <w:sz w:val="21"/>
        </w:rPr>
      </w:pPr>
      <w:r>
        <w:rPr>
          <w:sz w:val="21"/>
        </w:rPr>
        <w:t xml:space="preserve">The Customer will be charged for all travel and related expenses according to </w:t>
      </w:r>
      <w:proofErr w:type="spellStart"/>
      <w:r>
        <w:rPr>
          <w:sz w:val="21"/>
        </w:rPr>
        <w:t>Globex’s</w:t>
      </w:r>
      <w:proofErr w:type="spellEnd"/>
      <w:r>
        <w:rPr>
          <w:sz w:val="21"/>
        </w:rPr>
        <w:t xml:space="preserve"> travel policies unless otherwise noted. – Travel and related expenses will not be recharged as per agreement with</w:t>
      </w:r>
      <w:r>
        <w:rPr>
          <w:spacing w:val="-9"/>
          <w:sz w:val="21"/>
        </w:rPr>
        <w:t xml:space="preserve"> </w:t>
      </w:r>
      <w:r>
        <w:rPr>
          <w:sz w:val="21"/>
        </w:rPr>
        <w:t>ACME</w:t>
      </w:r>
    </w:p>
    <w:p w:rsidR="00DB5546" w:rsidRDefault="005324B9" w:rsidP="00257861">
      <w:pPr>
        <w:pStyle w:val="ListParagraph"/>
        <w:numPr>
          <w:ilvl w:val="0"/>
          <w:numId w:val="4"/>
        </w:numPr>
        <w:tabs>
          <w:tab w:val="left" w:pos="821"/>
        </w:tabs>
        <w:spacing w:line="316" w:lineRule="auto"/>
        <w:ind w:right="1231"/>
        <w:rPr>
          <w:sz w:val="21"/>
        </w:rPr>
      </w:pPr>
      <w:proofErr w:type="spellStart"/>
      <w:r>
        <w:rPr>
          <w:sz w:val="21"/>
        </w:rPr>
        <w:t>Globex</w:t>
      </w:r>
      <w:proofErr w:type="spellEnd"/>
      <w:r>
        <w:rPr>
          <w:sz w:val="21"/>
        </w:rPr>
        <w:t xml:space="preserve"> will provide a RNT Certified</w:t>
      </w:r>
      <w:r>
        <w:rPr>
          <w:color w:val="000080"/>
          <w:sz w:val="21"/>
        </w:rPr>
        <w:t xml:space="preserve"> </w:t>
      </w:r>
      <w:hyperlink r:id="rId27">
        <w:r>
          <w:rPr>
            <w:color w:val="000080"/>
            <w:sz w:val="21"/>
            <w:u w:val="single" w:color="000080"/>
          </w:rPr>
          <w:t>Project Manager</w:t>
        </w:r>
        <w:r>
          <w:rPr>
            <w:color w:val="000080"/>
            <w:sz w:val="21"/>
          </w:rPr>
          <w:t xml:space="preserve"> </w:t>
        </w:r>
      </w:hyperlink>
      <w:r>
        <w:rPr>
          <w:sz w:val="21"/>
        </w:rPr>
        <w:t xml:space="preserve">and may utilize </w:t>
      </w:r>
      <w:proofErr w:type="spellStart"/>
      <w:r>
        <w:rPr>
          <w:sz w:val="21"/>
        </w:rPr>
        <w:t>Globex</w:t>
      </w:r>
      <w:proofErr w:type="spellEnd"/>
      <w:r>
        <w:rPr>
          <w:sz w:val="21"/>
        </w:rPr>
        <w:t xml:space="preserve"> certified third party resources to complete some or all of the work on this engagement.</w:t>
      </w:r>
    </w:p>
    <w:p w:rsidR="00DB5546" w:rsidRDefault="005324B9">
      <w:pPr>
        <w:pStyle w:val="ListParagraph"/>
        <w:numPr>
          <w:ilvl w:val="0"/>
          <w:numId w:val="4"/>
        </w:numPr>
        <w:tabs>
          <w:tab w:val="left" w:pos="821"/>
        </w:tabs>
        <w:ind w:hanging="361"/>
        <w:rPr>
          <w:sz w:val="21"/>
        </w:rPr>
      </w:pPr>
      <w:r>
        <w:rPr>
          <w:sz w:val="21"/>
        </w:rPr>
        <w:t>All services must be used within 12 months of purchase to avoid</w:t>
      </w:r>
      <w:r>
        <w:rPr>
          <w:spacing w:val="-15"/>
          <w:sz w:val="21"/>
        </w:rPr>
        <w:t xml:space="preserve"> </w:t>
      </w:r>
      <w:r>
        <w:rPr>
          <w:sz w:val="21"/>
        </w:rPr>
        <w:t>expiration.</w:t>
      </w:r>
    </w:p>
    <w:p w:rsidR="00DB5546" w:rsidRDefault="00DB5546">
      <w:pPr>
        <w:rPr>
          <w:sz w:val="21"/>
        </w:rPr>
        <w:sectPr w:rsidR="00DB5546">
          <w:pgSz w:w="11910" w:h="16840"/>
          <w:pgMar w:top="1340" w:right="1060" w:bottom="1200" w:left="1340" w:header="838" w:footer="1014" w:gutter="0"/>
          <w:cols w:space="720"/>
        </w:sectPr>
      </w:pPr>
    </w:p>
    <w:p w:rsidR="00DB5546" w:rsidRDefault="005324B9" w:rsidP="00257861">
      <w:pPr>
        <w:pStyle w:val="Heading2"/>
        <w:ind w:left="0"/>
        <w:jc w:val="left"/>
      </w:pPr>
      <w:bookmarkStart w:id="17" w:name="_bookmark13"/>
      <w:bookmarkStart w:id="18" w:name="_bookmark14"/>
      <w:bookmarkEnd w:id="17"/>
      <w:bookmarkEnd w:id="18"/>
      <w:r>
        <w:lastRenderedPageBreak/>
        <w:t>Exclusions</w:t>
      </w:r>
    </w:p>
    <w:p w:rsidR="00DB5546" w:rsidRDefault="005324B9">
      <w:pPr>
        <w:pStyle w:val="BodyText"/>
        <w:spacing w:before="52" w:line="316" w:lineRule="auto"/>
        <w:ind w:left="100" w:right="472"/>
      </w:pPr>
      <w:r>
        <w:t>In addition to identifying the specific components that are included in the project, it is equally important to specify those components that are NOT included in the Statement of Work in order to manage expectations and scope. The following list of items is specifically excluded from this statement of work:</w:t>
      </w:r>
    </w:p>
    <w:p w:rsidR="00DB5546" w:rsidRDefault="005324B9">
      <w:pPr>
        <w:pStyle w:val="ListParagraph"/>
        <w:numPr>
          <w:ilvl w:val="0"/>
          <w:numId w:val="2"/>
        </w:numPr>
        <w:tabs>
          <w:tab w:val="left" w:pos="821"/>
        </w:tabs>
        <w:spacing w:before="78" w:line="316" w:lineRule="auto"/>
        <w:ind w:right="417"/>
        <w:rPr>
          <w:sz w:val="21"/>
        </w:rPr>
      </w:pPr>
      <w:proofErr w:type="spellStart"/>
      <w:r>
        <w:rPr>
          <w:sz w:val="21"/>
        </w:rPr>
        <w:t>Globex</w:t>
      </w:r>
      <w:proofErr w:type="spellEnd"/>
      <w:r>
        <w:rPr>
          <w:sz w:val="21"/>
        </w:rPr>
        <w:t xml:space="preserve"> is not responsible for advanced Database, Operating System and Network configuration and/or troubleshooting are outside the scope of this Statement of Work. This includes, but is not limited</w:t>
      </w:r>
      <w:r>
        <w:rPr>
          <w:spacing w:val="-6"/>
          <w:sz w:val="21"/>
        </w:rPr>
        <w:t xml:space="preserve"> </w:t>
      </w:r>
      <w:r>
        <w:rPr>
          <w:sz w:val="21"/>
        </w:rPr>
        <w:t>to:</w:t>
      </w:r>
    </w:p>
    <w:p w:rsidR="00DB5546" w:rsidRDefault="005324B9">
      <w:pPr>
        <w:pStyle w:val="ListParagraph"/>
        <w:numPr>
          <w:ilvl w:val="1"/>
          <w:numId w:val="2"/>
        </w:numPr>
        <w:tabs>
          <w:tab w:val="left" w:pos="1540"/>
          <w:tab w:val="left" w:pos="1541"/>
        </w:tabs>
        <w:spacing w:line="244" w:lineRule="exact"/>
        <w:ind w:hanging="361"/>
        <w:rPr>
          <w:sz w:val="21"/>
        </w:rPr>
      </w:pPr>
      <w:r>
        <w:rPr>
          <w:sz w:val="21"/>
        </w:rPr>
        <w:t>Database Replication, Optimization or</w:t>
      </w:r>
      <w:r>
        <w:rPr>
          <w:spacing w:val="-7"/>
          <w:sz w:val="21"/>
        </w:rPr>
        <w:t xml:space="preserve"> </w:t>
      </w:r>
      <w:r>
        <w:rPr>
          <w:sz w:val="21"/>
        </w:rPr>
        <w:t>Partitions</w:t>
      </w:r>
    </w:p>
    <w:p w:rsidR="00DB5546" w:rsidRDefault="005324B9">
      <w:pPr>
        <w:pStyle w:val="ListParagraph"/>
        <w:numPr>
          <w:ilvl w:val="1"/>
          <w:numId w:val="2"/>
        </w:numPr>
        <w:tabs>
          <w:tab w:val="left" w:pos="1540"/>
          <w:tab w:val="left" w:pos="1541"/>
        </w:tabs>
        <w:spacing w:before="64"/>
        <w:ind w:hanging="361"/>
        <w:rPr>
          <w:sz w:val="21"/>
        </w:rPr>
      </w:pPr>
      <w:r>
        <w:rPr>
          <w:sz w:val="21"/>
        </w:rPr>
        <w:t>Router/Switch</w:t>
      </w:r>
      <w:r>
        <w:rPr>
          <w:spacing w:val="-1"/>
          <w:sz w:val="21"/>
        </w:rPr>
        <w:t xml:space="preserve"> </w:t>
      </w:r>
      <w:r>
        <w:rPr>
          <w:sz w:val="21"/>
        </w:rPr>
        <w:t>troubleshooting</w:t>
      </w:r>
    </w:p>
    <w:p w:rsidR="00DB5546" w:rsidRDefault="005324B9">
      <w:pPr>
        <w:pStyle w:val="ListParagraph"/>
        <w:numPr>
          <w:ilvl w:val="1"/>
          <w:numId w:val="2"/>
        </w:numPr>
        <w:tabs>
          <w:tab w:val="left" w:pos="1540"/>
          <w:tab w:val="left" w:pos="1541"/>
        </w:tabs>
        <w:spacing w:before="62"/>
        <w:ind w:hanging="361"/>
        <w:rPr>
          <w:sz w:val="21"/>
        </w:rPr>
      </w:pPr>
      <w:r>
        <w:rPr>
          <w:sz w:val="21"/>
        </w:rPr>
        <w:t>DNS issues and SSL</w:t>
      </w:r>
      <w:r>
        <w:rPr>
          <w:spacing w:val="-4"/>
          <w:sz w:val="21"/>
        </w:rPr>
        <w:t xml:space="preserve"> </w:t>
      </w:r>
      <w:r>
        <w:rPr>
          <w:sz w:val="21"/>
        </w:rPr>
        <w:t>configuration</w:t>
      </w:r>
    </w:p>
    <w:p w:rsidR="00DB5546" w:rsidRDefault="005324B9">
      <w:pPr>
        <w:pStyle w:val="ListParagraph"/>
        <w:numPr>
          <w:ilvl w:val="1"/>
          <w:numId w:val="2"/>
        </w:numPr>
        <w:tabs>
          <w:tab w:val="left" w:pos="1540"/>
          <w:tab w:val="left" w:pos="1541"/>
        </w:tabs>
        <w:spacing w:before="62"/>
        <w:ind w:hanging="361"/>
        <w:rPr>
          <w:sz w:val="21"/>
        </w:rPr>
      </w:pPr>
      <w:r>
        <w:rPr>
          <w:sz w:val="21"/>
        </w:rPr>
        <w:t>Internet</w:t>
      </w:r>
      <w:r>
        <w:rPr>
          <w:spacing w:val="-8"/>
          <w:sz w:val="21"/>
        </w:rPr>
        <w:t xml:space="preserve"> </w:t>
      </w:r>
      <w:r>
        <w:rPr>
          <w:sz w:val="21"/>
        </w:rPr>
        <w:t>Connectivity</w:t>
      </w:r>
    </w:p>
    <w:p w:rsidR="00DB5546" w:rsidRDefault="005324B9">
      <w:pPr>
        <w:pStyle w:val="ListParagraph"/>
        <w:numPr>
          <w:ilvl w:val="1"/>
          <w:numId w:val="2"/>
        </w:numPr>
        <w:tabs>
          <w:tab w:val="left" w:pos="1540"/>
          <w:tab w:val="left" w:pos="1541"/>
        </w:tabs>
        <w:spacing w:before="62"/>
        <w:ind w:hanging="361"/>
        <w:rPr>
          <w:sz w:val="21"/>
        </w:rPr>
      </w:pPr>
      <w:r>
        <w:rPr>
          <w:sz w:val="21"/>
        </w:rPr>
        <w:t>TCP/IP</w:t>
      </w:r>
      <w:r>
        <w:rPr>
          <w:spacing w:val="-10"/>
          <w:sz w:val="21"/>
        </w:rPr>
        <w:t xml:space="preserve"> </w:t>
      </w:r>
      <w:r>
        <w:rPr>
          <w:sz w:val="21"/>
        </w:rPr>
        <w:t>configuration</w:t>
      </w:r>
    </w:p>
    <w:p w:rsidR="00DB5546" w:rsidRDefault="00DB5546">
      <w:pPr>
        <w:rPr>
          <w:sz w:val="21"/>
        </w:rPr>
        <w:sectPr w:rsidR="00DB5546">
          <w:pgSz w:w="11910" w:h="16840"/>
          <w:pgMar w:top="1340" w:right="1060" w:bottom="1200" w:left="1340" w:header="838" w:footer="1014" w:gutter="0"/>
          <w:cols w:space="720"/>
        </w:sectPr>
      </w:pPr>
    </w:p>
    <w:p w:rsidR="00DB5546" w:rsidRDefault="005324B9" w:rsidP="00257861">
      <w:pPr>
        <w:pStyle w:val="Heading1"/>
        <w:spacing w:before="1"/>
        <w:ind w:left="0"/>
        <w:jc w:val="left"/>
      </w:pPr>
      <w:bookmarkStart w:id="19" w:name="_bookmark15"/>
      <w:bookmarkStart w:id="20" w:name="_bookmark17"/>
      <w:bookmarkEnd w:id="19"/>
      <w:bookmarkEnd w:id="20"/>
      <w:r>
        <w:rPr>
          <w:color w:val="0A5293"/>
        </w:rPr>
        <w:lastRenderedPageBreak/>
        <w:t>Rates</w:t>
      </w:r>
    </w:p>
    <w:p w:rsidR="00DB5546" w:rsidRDefault="005324B9">
      <w:pPr>
        <w:pStyle w:val="BodyText"/>
        <w:spacing w:before="94" w:line="314" w:lineRule="auto"/>
        <w:ind w:left="100" w:right="1339"/>
      </w:pPr>
      <w:r>
        <w:t xml:space="preserve">Services provided under this Statement of Work shall be based on </w:t>
      </w:r>
      <w:proofErr w:type="spellStart"/>
      <w:r>
        <w:t>Globex</w:t>
      </w:r>
      <w:proofErr w:type="spellEnd"/>
      <w:r>
        <w:t xml:space="preserve"> standard consulting rates, which are listed below:</w:t>
      </w:r>
    </w:p>
    <w:p w:rsidR="00DB5546" w:rsidRDefault="00DB5546">
      <w:pPr>
        <w:pStyle w:val="BodyText"/>
        <w:spacing w:before="2"/>
        <w:rPr>
          <w:sz w:val="13"/>
        </w:rPr>
      </w:pPr>
    </w:p>
    <w:tbl>
      <w:tblPr>
        <w:tblW w:w="0" w:type="auto"/>
        <w:tblInd w:w="10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19"/>
        <w:gridCol w:w="1868"/>
      </w:tblGrid>
      <w:tr w:rsidR="00DB5546">
        <w:trPr>
          <w:trHeight w:val="253"/>
        </w:trPr>
        <w:tc>
          <w:tcPr>
            <w:tcW w:w="3519" w:type="dxa"/>
          </w:tcPr>
          <w:p w:rsidR="00DB5546" w:rsidRDefault="005324B9">
            <w:pPr>
              <w:pStyle w:val="TableParagraph"/>
              <w:spacing w:before="7" w:line="227" w:lineRule="exact"/>
              <w:rPr>
                <w:b/>
                <w:sz w:val="21"/>
              </w:rPr>
            </w:pPr>
            <w:r>
              <w:rPr>
                <w:b/>
                <w:sz w:val="21"/>
              </w:rPr>
              <w:t>Role</w:t>
            </w:r>
          </w:p>
        </w:tc>
        <w:tc>
          <w:tcPr>
            <w:tcW w:w="1868" w:type="dxa"/>
          </w:tcPr>
          <w:p w:rsidR="00DB5546" w:rsidRDefault="005324B9">
            <w:pPr>
              <w:pStyle w:val="TableParagraph"/>
              <w:spacing w:before="7" w:line="227" w:lineRule="exact"/>
              <w:rPr>
                <w:b/>
                <w:sz w:val="21"/>
              </w:rPr>
            </w:pPr>
            <w:r>
              <w:rPr>
                <w:b/>
                <w:sz w:val="21"/>
              </w:rPr>
              <w:t>Euros</w:t>
            </w:r>
          </w:p>
        </w:tc>
      </w:tr>
      <w:tr w:rsidR="00DB5546">
        <w:trPr>
          <w:trHeight w:val="251"/>
        </w:trPr>
        <w:tc>
          <w:tcPr>
            <w:tcW w:w="3519" w:type="dxa"/>
          </w:tcPr>
          <w:p w:rsidR="00DB5546" w:rsidRDefault="005324B9">
            <w:pPr>
              <w:pStyle w:val="TableParagraph"/>
              <w:spacing w:line="219" w:lineRule="exact"/>
              <w:rPr>
                <w:sz w:val="21"/>
              </w:rPr>
            </w:pPr>
            <w:r>
              <w:rPr>
                <w:sz w:val="21"/>
              </w:rPr>
              <w:t>Developer</w:t>
            </w:r>
          </w:p>
        </w:tc>
        <w:tc>
          <w:tcPr>
            <w:tcW w:w="1868" w:type="dxa"/>
          </w:tcPr>
          <w:p w:rsidR="00DB5546" w:rsidRDefault="005324B9">
            <w:pPr>
              <w:pStyle w:val="TableParagraph"/>
              <w:spacing w:line="219" w:lineRule="exact"/>
              <w:rPr>
                <w:sz w:val="21"/>
              </w:rPr>
            </w:pPr>
            <w:r>
              <w:rPr>
                <w:sz w:val="21"/>
              </w:rPr>
              <w:t>€1,200/day</w:t>
            </w:r>
          </w:p>
        </w:tc>
      </w:tr>
      <w:tr w:rsidR="00DB5546">
        <w:trPr>
          <w:trHeight w:val="253"/>
        </w:trPr>
        <w:tc>
          <w:tcPr>
            <w:tcW w:w="3519" w:type="dxa"/>
          </w:tcPr>
          <w:p w:rsidR="00DB5546" w:rsidRDefault="005324B9">
            <w:pPr>
              <w:pStyle w:val="TableParagraph"/>
              <w:spacing w:line="222" w:lineRule="exact"/>
              <w:rPr>
                <w:sz w:val="21"/>
              </w:rPr>
            </w:pPr>
            <w:r>
              <w:rPr>
                <w:sz w:val="21"/>
              </w:rPr>
              <w:t>Consultant</w:t>
            </w:r>
          </w:p>
        </w:tc>
        <w:tc>
          <w:tcPr>
            <w:tcW w:w="1868" w:type="dxa"/>
          </w:tcPr>
          <w:p w:rsidR="00DB5546" w:rsidRDefault="005324B9">
            <w:pPr>
              <w:pStyle w:val="TableParagraph"/>
              <w:spacing w:line="222" w:lineRule="exact"/>
              <w:rPr>
                <w:sz w:val="21"/>
              </w:rPr>
            </w:pPr>
            <w:r>
              <w:rPr>
                <w:sz w:val="21"/>
              </w:rPr>
              <w:t>€1,200/day</w:t>
            </w:r>
          </w:p>
        </w:tc>
      </w:tr>
      <w:tr w:rsidR="00DB5546">
        <w:trPr>
          <w:trHeight w:val="251"/>
        </w:trPr>
        <w:tc>
          <w:tcPr>
            <w:tcW w:w="3519" w:type="dxa"/>
          </w:tcPr>
          <w:p w:rsidR="00DB5546" w:rsidRDefault="005324B9">
            <w:pPr>
              <w:pStyle w:val="TableParagraph"/>
              <w:spacing w:line="219" w:lineRule="exact"/>
              <w:rPr>
                <w:sz w:val="21"/>
              </w:rPr>
            </w:pPr>
            <w:r>
              <w:rPr>
                <w:sz w:val="21"/>
              </w:rPr>
              <w:t>Test Manager</w:t>
            </w:r>
          </w:p>
        </w:tc>
        <w:tc>
          <w:tcPr>
            <w:tcW w:w="1868" w:type="dxa"/>
          </w:tcPr>
          <w:p w:rsidR="00DB5546" w:rsidRDefault="005324B9">
            <w:pPr>
              <w:pStyle w:val="TableParagraph"/>
              <w:spacing w:line="219" w:lineRule="exact"/>
              <w:rPr>
                <w:sz w:val="21"/>
              </w:rPr>
            </w:pPr>
            <w:r>
              <w:rPr>
                <w:sz w:val="21"/>
              </w:rPr>
              <w:t>€1,200/day</w:t>
            </w:r>
          </w:p>
        </w:tc>
      </w:tr>
      <w:tr w:rsidR="00DB5546">
        <w:trPr>
          <w:trHeight w:val="251"/>
        </w:trPr>
        <w:tc>
          <w:tcPr>
            <w:tcW w:w="3519" w:type="dxa"/>
          </w:tcPr>
          <w:p w:rsidR="00DB5546" w:rsidRDefault="005324B9">
            <w:pPr>
              <w:pStyle w:val="TableParagraph"/>
              <w:spacing w:line="219" w:lineRule="exact"/>
              <w:rPr>
                <w:sz w:val="21"/>
              </w:rPr>
            </w:pPr>
            <w:r>
              <w:rPr>
                <w:sz w:val="21"/>
              </w:rPr>
              <w:t>Education Trainer</w:t>
            </w:r>
          </w:p>
        </w:tc>
        <w:tc>
          <w:tcPr>
            <w:tcW w:w="1868" w:type="dxa"/>
          </w:tcPr>
          <w:p w:rsidR="00DB5546" w:rsidRDefault="005324B9">
            <w:pPr>
              <w:pStyle w:val="TableParagraph"/>
              <w:spacing w:line="219" w:lineRule="exact"/>
              <w:rPr>
                <w:sz w:val="21"/>
              </w:rPr>
            </w:pPr>
            <w:r>
              <w:rPr>
                <w:sz w:val="21"/>
              </w:rPr>
              <w:t>€1,200/day</w:t>
            </w:r>
          </w:p>
        </w:tc>
      </w:tr>
      <w:tr w:rsidR="00DB5546">
        <w:trPr>
          <w:trHeight w:val="253"/>
        </w:trPr>
        <w:tc>
          <w:tcPr>
            <w:tcW w:w="3519" w:type="dxa"/>
          </w:tcPr>
          <w:p w:rsidR="00DB5546" w:rsidRDefault="000B1732">
            <w:pPr>
              <w:pStyle w:val="TableParagraph"/>
              <w:spacing w:line="222" w:lineRule="exact"/>
              <w:rPr>
                <w:sz w:val="21"/>
              </w:rPr>
            </w:pPr>
            <w:hyperlink r:id="rId28">
              <w:r w:rsidR="005324B9">
                <w:rPr>
                  <w:color w:val="000080"/>
                  <w:sz w:val="21"/>
                  <w:u w:val="single" w:color="000080"/>
                </w:rPr>
                <w:t>Project Manager</w:t>
              </w:r>
            </w:hyperlink>
          </w:p>
        </w:tc>
        <w:tc>
          <w:tcPr>
            <w:tcW w:w="1868" w:type="dxa"/>
          </w:tcPr>
          <w:p w:rsidR="00DB5546" w:rsidRDefault="005324B9">
            <w:pPr>
              <w:pStyle w:val="TableParagraph"/>
              <w:spacing w:line="222" w:lineRule="exact"/>
              <w:rPr>
                <w:sz w:val="21"/>
              </w:rPr>
            </w:pPr>
            <w:r>
              <w:rPr>
                <w:sz w:val="21"/>
              </w:rPr>
              <w:t>€1,200/day</w:t>
            </w:r>
          </w:p>
        </w:tc>
      </w:tr>
      <w:tr w:rsidR="00DB5546">
        <w:trPr>
          <w:trHeight w:val="251"/>
        </w:trPr>
        <w:tc>
          <w:tcPr>
            <w:tcW w:w="3519" w:type="dxa"/>
          </w:tcPr>
          <w:p w:rsidR="00DB5546" w:rsidRDefault="005324B9">
            <w:pPr>
              <w:pStyle w:val="TableParagraph"/>
              <w:spacing w:line="219" w:lineRule="exact"/>
              <w:rPr>
                <w:sz w:val="21"/>
              </w:rPr>
            </w:pPr>
            <w:r>
              <w:rPr>
                <w:sz w:val="21"/>
              </w:rPr>
              <w:t>Business Development Manager</w:t>
            </w:r>
          </w:p>
        </w:tc>
        <w:tc>
          <w:tcPr>
            <w:tcW w:w="1868" w:type="dxa"/>
          </w:tcPr>
          <w:p w:rsidR="00DB5546" w:rsidRDefault="005324B9">
            <w:pPr>
              <w:pStyle w:val="TableParagraph"/>
              <w:spacing w:line="219" w:lineRule="exact"/>
              <w:rPr>
                <w:sz w:val="21"/>
              </w:rPr>
            </w:pPr>
            <w:r>
              <w:rPr>
                <w:sz w:val="21"/>
              </w:rPr>
              <w:t>€1,200/day</w:t>
            </w:r>
          </w:p>
        </w:tc>
      </w:tr>
    </w:tbl>
    <w:p w:rsidR="00DB5546" w:rsidRDefault="00DB5546">
      <w:pPr>
        <w:pStyle w:val="BodyText"/>
        <w:rPr>
          <w:sz w:val="24"/>
        </w:rPr>
      </w:pPr>
    </w:p>
    <w:p w:rsidR="00DB5546" w:rsidRDefault="005324B9">
      <w:pPr>
        <w:pStyle w:val="BodyText"/>
        <w:spacing w:before="214" w:line="316" w:lineRule="auto"/>
        <w:ind w:left="100" w:right="522"/>
      </w:pPr>
      <w:proofErr w:type="spellStart"/>
      <w:r>
        <w:t>Globex</w:t>
      </w:r>
      <w:proofErr w:type="spellEnd"/>
      <w:r>
        <w:t xml:space="preserve"> may utilize a </w:t>
      </w:r>
      <w:proofErr w:type="spellStart"/>
      <w:r>
        <w:t>Globex</w:t>
      </w:r>
      <w:proofErr w:type="spellEnd"/>
      <w:r>
        <w:t xml:space="preserve"> certified third party vendor to complete all or some of the work specified in this statement of work. Documented below are the estimated Consulting services fees.</w:t>
      </w:r>
    </w:p>
    <w:p w:rsidR="009A1398" w:rsidRDefault="009A1398">
      <w:pPr>
        <w:pStyle w:val="BodyText"/>
        <w:spacing w:before="214" w:line="316" w:lineRule="auto"/>
        <w:ind w:left="100" w:right="522"/>
      </w:pPr>
      <w:r>
        <w:t xml:space="preserve">Agreed with </w:t>
      </w:r>
      <w:r w:rsidR="009D26F2">
        <w:t>client,</w:t>
      </w:r>
      <w:r>
        <w:t xml:space="preserve"> the </w:t>
      </w:r>
      <w:r w:rsidR="00E16981">
        <w:t xml:space="preserve">mode of payment will be </w:t>
      </w:r>
      <w:commentRangeStart w:id="21"/>
      <w:r w:rsidR="00E16981">
        <w:t>Cheque.</w:t>
      </w:r>
      <w:r>
        <w:t xml:space="preserve"> </w:t>
      </w:r>
      <w:commentRangeEnd w:id="21"/>
      <w:r w:rsidR="003C2460">
        <w:rPr>
          <w:rStyle w:val="CommentReference"/>
        </w:rPr>
        <w:commentReference w:id="21"/>
      </w:r>
    </w:p>
    <w:p w:rsidR="00DB5546" w:rsidRDefault="005324B9" w:rsidP="00257861">
      <w:pPr>
        <w:pStyle w:val="Heading2"/>
        <w:ind w:left="0"/>
        <w:jc w:val="left"/>
      </w:pPr>
      <w:bookmarkStart w:id="22" w:name="_bookmark18"/>
      <w:bookmarkEnd w:id="22"/>
      <w:r>
        <w:t>Fees Summary</w:t>
      </w:r>
    </w:p>
    <w:p w:rsidR="00DB5546" w:rsidRDefault="005324B9">
      <w:pPr>
        <w:pStyle w:val="BodyText"/>
        <w:spacing w:before="51"/>
        <w:ind w:left="100"/>
      </w:pPr>
      <w:r>
        <w:t xml:space="preserve">This estimate does not include travel and “out of pocket” expenses </w:t>
      </w:r>
      <w:proofErr w:type="spellStart"/>
      <w:r>
        <w:t>Globex</w:t>
      </w:r>
      <w:proofErr w:type="spellEnd"/>
      <w:r>
        <w:t xml:space="preserve"> may incur.</w:t>
      </w:r>
    </w:p>
    <w:p w:rsidR="00DB5546" w:rsidRDefault="00DB5546">
      <w:pPr>
        <w:pStyle w:val="BodyText"/>
        <w:spacing w:before="10"/>
        <w:rPr>
          <w:sz w:val="19"/>
        </w:rPr>
      </w:pPr>
    </w:p>
    <w:tbl>
      <w:tblPr>
        <w:tblW w:w="0" w:type="auto"/>
        <w:tblInd w:w="722"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Layout w:type="fixed"/>
        <w:tblCellMar>
          <w:left w:w="0" w:type="dxa"/>
          <w:right w:w="0" w:type="dxa"/>
        </w:tblCellMar>
        <w:tblLook w:val="01E0" w:firstRow="1" w:lastRow="1" w:firstColumn="1" w:lastColumn="1" w:noHBand="0" w:noVBand="0"/>
      </w:tblPr>
      <w:tblGrid>
        <w:gridCol w:w="1550"/>
        <w:gridCol w:w="2835"/>
        <w:gridCol w:w="1274"/>
        <w:gridCol w:w="1560"/>
      </w:tblGrid>
      <w:tr w:rsidR="00DB5546">
        <w:trPr>
          <w:trHeight w:val="475"/>
        </w:trPr>
        <w:tc>
          <w:tcPr>
            <w:tcW w:w="4385" w:type="dxa"/>
            <w:gridSpan w:val="2"/>
            <w:shd w:val="clear" w:color="auto" w:fill="666699"/>
          </w:tcPr>
          <w:p w:rsidR="00DB5546" w:rsidRDefault="005324B9">
            <w:pPr>
              <w:pStyle w:val="TableParagraph"/>
              <w:rPr>
                <w:sz w:val="21"/>
              </w:rPr>
            </w:pPr>
            <w:r>
              <w:rPr>
                <w:sz w:val="21"/>
              </w:rPr>
              <w:t>CONSULTING SERVICE</w:t>
            </w:r>
          </w:p>
        </w:tc>
        <w:tc>
          <w:tcPr>
            <w:tcW w:w="1274" w:type="dxa"/>
            <w:shd w:val="clear" w:color="auto" w:fill="666699"/>
          </w:tcPr>
          <w:p w:rsidR="00DB5546" w:rsidRDefault="005324B9">
            <w:pPr>
              <w:pStyle w:val="TableParagraph"/>
              <w:ind w:left="108"/>
              <w:rPr>
                <w:sz w:val="21"/>
              </w:rPr>
            </w:pPr>
            <w:r>
              <w:rPr>
                <w:sz w:val="21"/>
              </w:rPr>
              <w:t>DAYS</w:t>
            </w:r>
          </w:p>
        </w:tc>
        <w:tc>
          <w:tcPr>
            <w:tcW w:w="1560" w:type="dxa"/>
            <w:shd w:val="clear" w:color="auto" w:fill="666699"/>
          </w:tcPr>
          <w:p w:rsidR="00DB5546" w:rsidRDefault="005324B9">
            <w:pPr>
              <w:pStyle w:val="TableParagraph"/>
              <w:ind w:left="108"/>
              <w:rPr>
                <w:sz w:val="21"/>
              </w:rPr>
            </w:pPr>
            <w:r>
              <w:rPr>
                <w:sz w:val="21"/>
              </w:rPr>
              <w:t>FEE</w:t>
            </w:r>
          </w:p>
        </w:tc>
      </w:tr>
      <w:tr w:rsidR="00DB5546">
        <w:trPr>
          <w:trHeight w:val="474"/>
        </w:trPr>
        <w:tc>
          <w:tcPr>
            <w:tcW w:w="1550" w:type="dxa"/>
          </w:tcPr>
          <w:p w:rsidR="00DB5546" w:rsidRDefault="005324B9">
            <w:pPr>
              <w:pStyle w:val="TableParagraph"/>
              <w:rPr>
                <w:sz w:val="21"/>
              </w:rPr>
            </w:pPr>
            <w:r>
              <w:rPr>
                <w:sz w:val="21"/>
              </w:rPr>
              <w:t>Deliverable 1</w:t>
            </w:r>
          </w:p>
        </w:tc>
        <w:tc>
          <w:tcPr>
            <w:tcW w:w="2835" w:type="dxa"/>
          </w:tcPr>
          <w:p w:rsidR="00DB5546" w:rsidRDefault="005324B9">
            <w:pPr>
              <w:pStyle w:val="TableParagraph"/>
              <w:ind w:left="108"/>
              <w:rPr>
                <w:sz w:val="21"/>
              </w:rPr>
            </w:pPr>
            <w:r>
              <w:rPr>
                <w:sz w:val="21"/>
              </w:rPr>
              <w:t>Project Management</w:t>
            </w:r>
          </w:p>
        </w:tc>
        <w:tc>
          <w:tcPr>
            <w:tcW w:w="1274" w:type="dxa"/>
          </w:tcPr>
          <w:p w:rsidR="00DB5546" w:rsidRDefault="005324B9">
            <w:pPr>
              <w:pStyle w:val="TableParagraph"/>
              <w:ind w:left="108"/>
              <w:rPr>
                <w:sz w:val="21"/>
              </w:rPr>
            </w:pPr>
            <w:r>
              <w:rPr>
                <w:sz w:val="21"/>
              </w:rPr>
              <w:t>8</w:t>
            </w:r>
          </w:p>
        </w:tc>
        <w:tc>
          <w:tcPr>
            <w:tcW w:w="1560" w:type="dxa"/>
          </w:tcPr>
          <w:p w:rsidR="00DB5546" w:rsidRDefault="005324B9">
            <w:pPr>
              <w:pStyle w:val="TableParagraph"/>
              <w:ind w:left="108"/>
              <w:rPr>
                <w:sz w:val="21"/>
              </w:rPr>
            </w:pPr>
            <w:r>
              <w:rPr>
                <w:sz w:val="21"/>
              </w:rPr>
              <w:t>€ 9,600</w:t>
            </w:r>
          </w:p>
        </w:tc>
      </w:tr>
      <w:tr w:rsidR="00DB5546">
        <w:trPr>
          <w:trHeight w:val="476"/>
        </w:trPr>
        <w:tc>
          <w:tcPr>
            <w:tcW w:w="1550" w:type="dxa"/>
          </w:tcPr>
          <w:p w:rsidR="00DB5546" w:rsidRDefault="005324B9">
            <w:pPr>
              <w:pStyle w:val="TableParagraph"/>
              <w:spacing w:before="14"/>
              <w:rPr>
                <w:sz w:val="21"/>
              </w:rPr>
            </w:pPr>
            <w:r>
              <w:rPr>
                <w:sz w:val="21"/>
              </w:rPr>
              <w:t>Deliverable 2</w:t>
            </w:r>
          </w:p>
        </w:tc>
        <w:tc>
          <w:tcPr>
            <w:tcW w:w="2835" w:type="dxa"/>
          </w:tcPr>
          <w:p w:rsidR="00DB5546" w:rsidRDefault="005324B9">
            <w:pPr>
              <w:pStyle w:val="TableParagraph"/>
              <w:spacing w:before="14"/>
              <w:ind w:left="108"/>
              <w:rPr>
                <w:sz w:val="21"/>
              </w:rPr>
            </w:pPr>
            <w:r>
              <w:rPr>
                <w:sz w:val="21"/>
              </w:rPr>
              <w:t>Development</w:t>
            </w:r>
          </w:p>
        </w:tc>
        <w:tc>
          <w:tcPr>
            <w:tcW w:w="1274" w:type="dxa"/>
          </w:tcPr>
          <w:p w:rsidR="00DB5546" w:rsidRDefault="005324B9">
            <w:pPr>
              <w:pStyle w:val="TableParagraph"/>
              <w:spacing w:before="14"/>
              <w:ind w:left="108"/>
              <w:rPr>
                <w:sz w:val="21"/>
              </w:rPr>
            </w:pPr>
            <w:r>
              <w:rPr>
                <w:sz w:val="21"/>
              </w:rPr>
              <w:t>6</w:t>
            </w:r>
          </w:p>
        </w:tc>
        <w:tc>
          <w:tcPr>
            <w:tcW w:w="1560" w:type="dxa"/>
          </w:tcPr>
          <w:p w:rsidR="00DB5546" w:rsidRDefault="005324B9">
            <w:pPr>
              <w:pStyle w:val="TableParagraph"/>
              <w:spacing w:before="14"/>
              <w:ind w:left="108"/>
              <w:rPr>
                <w:sz w:val="21"/>
              </w:rPr>
            </w:pPr>
            <w:r>
              <w:rPr>
                <w:sz w:val="21"/>
              </w:rPr>
              <w:t>€ 7,200</w:t>
            </w:r>
          </w:p>
        </w:tc>
      </w:tr>
      <w:tr w:rsidR="00DB5546">
        <w:trPr>
          <w:trHeight w:val="474"/>
        </w:trPr>
        <w:tc>
          <w:tcPr>
            <w:tcW w:w="1550" w:type="dxa"/>
          </w:tcPr>
          <w:p w:rsidR="00DB5546" w:rsidRDefault="005324B9">
            <w:pPr>
              <w:pStyle w:val="TableParagraph"/>
              <w:rPr>
                <w:sz w:val="21"/>
              </w:rPr>
            </w:pPr>
            <w:r>
              <w:rPr>
                <w:sz w:val="21"/>
              </w:rPr>
              <w:t>Deliverable 3</w:t>
            </w:r>
          </w:p>
        </w:tc>
        <w:tc>
          <w:tcPr>
            <w:tcW w:w="2835" w:type="dxa"/>
          </w:tcPr>
          <w:p w:rsidR="00DB5546" w:rsidRDefault="005324B9">
            <w:pPr>
              <w:pStyle w:val="TableParagraph"/>
              <w:ind w:left="108"/>
              <w:rPr>
                <w:sz w:val="21"/>
              </w:rPr>
            </w:pPr>
            <w:r>
              <w:rPr>
                <w:sz w:val="21"/>
              </w:rPr>
              <w:t>Quality Assurance Testing</w:t>
            </w:r>
          </w:p>
        </w:tc>
        <w:tc>
          <w:tcPr>
            <w:tcW w:w="1274" w:type="dxa"/>
          </w:tcPr>
          <w:p w:rsidR="00DB5546" w:rsidRDefault="005324B9">
            <w:pPr>
              <w:pStyle w:val="TableParagraph"/>
              <w:ind w:left="108"/>
              <w:rPr>
                <w:sz w:val="21"/>
              </w:rPr>
            </w:pPr>
            <w:r>
              <w:rPr>
                <w:sz w:val="21"/>
              </w:rPr>
              <w:t>4</w:t>
            </w:r>
          </w:p>
        </w:tc>
        <w:tc>
          <w:tcPr>
            <w:tcW w:w="1560" w:type="dxa"/>
          </w:tcPr>
          <w:p w:rsidR="00DB5546" w:rsidRDefault="005324B9">
            <w:pPr>
              <w:pStyle w:val="TableParagraph"/>
              <w:ind w:left="108"/>
              <w:rPr>
                <w:sz w:val="21"/>
              </w:rPr>
            </w:pPr>
            <w:r>
              <w:rPr>
                <w:sz w:val="21"/>
              </w:rPr>
              <w:t>€ 4,800</w:t>
            </w:r>
          </w:p>
        </w:tc>
      </w:tr>
      <w:tr w:rsidR="00DB5546">
        <w:trPr>
          <w:trHeight w:val="476"/>
        </w:trPr>
        <w:tc>
          <w:tcPr>
            <w:tcW w:w="1550" w:type="dxa"/>
          </w:tcPr>
          <w:p w:rsidR="00DB5546" w:rsidRDefault="005324B9">
            <w:pPr>
              <w:pStyle w:val="TableParagraph"/>
              <w:spacing w:before="14"/>
              <w:rPr>
                <w:sz w:val="21"/>
              </w:rPr>
            </w:pPr>
            <w:r>
              <w:rPr>
                <w:sz w:val="21"/>
              </w:rPr>
              <w:t>Deliverable 4</w:t>
            </w:r>
          </w:p>
        </w:tc>
        <w:tc>
          <w:tcPr>
            <w:tcW w:w="2835" w:type="dxa"/>
          </w:tcPr>
          <w:p w:rsidR="00DB5546" w:rsidRDefault="005324B9">
            <w:pPr>
              <w:pStyle w:val="TableParagraph"/>
              <w:spacing w:before="14"/>
              <w:ind w:left="108"/>
              <w:rPr>
                <w:sz w:val="21"/>
              </w:rPr>
            </w:pPr>
            <w:r>
              <w:rPr>
                <w:sz w:val="21"/>
              </w:rPr>
              <w:t>Administration Support</w:t>
            </w:r>
          </w:p>
        </w:tc>
        <w:tc>
          <w:tcPr>
            <w:tcW w:w="1274" w:type="dxa"/>
          </w:tcPr>
          <w:p w:rsidR="00DB5546" w:rsidRDefault="005324B9">
            <w:pPr>
              <w:pStyle w:val="TableParagraph"/>
              <w:spacing w:before="14"/>
              <w:ind w:left="108"/>
              <w:rPr>
                <w:sz w:val="21"/>
              </w:rPr>
            </w:pPr>
            <w:r>
              <w:rPr>
                <w:sz w:val="21"/>
              </w:rPr>
              <w:t>4</w:t>
            </w:r>
          </w:p>
        </w:tc>
        <w:tc>
          <w:tcPr>
            <w:tcW w:w="1560" w:type="dxa"/>
          </w:tcPr>
          <w:p w:rsidR="00DB5546" w:rsidRDefault="005324B9">
            <w:pPr>
              <w:pStyle w:val="TableParagraph"/>
              <w:spacing w:before="14"/>
              <w:ind w:left="108"/>
              <w:rPr>
                <w:sz w:val="21"/>
              </w:rPr>
            </w:pPr>
            <w:r>
              <w:rPr>
                <w:sz w:val="21"/>
              </w:rPr>
              <w:t>€ 4,800</w:t>
            </w:r>
          </w:p>
        </w:tc>
      </w:tr>
      <w:tr w:rsidR="00DB5546">
        <w:trPr>
          <w:trHeight w:val="474"/>
        </w:trPr>
        <w:tc>
          <w:tcPr>
            <w:tcW w:w="1550" w:type="dxa"/>
          </w:tcPr>
          <w:p w:rsidR="00DB5546" w:rsidRDefault="005324B9">
            <w:pPr>
              <w:pStyle w:val="TableParagraph"/>
              <w:rPr>
                <w:sz w:val="21"/>
              </w:rPr>
            </w:pPr>
            <w:r>
              <w:rPr>
                <w:sz w:val="21"/>
              </w:rPr>
              <w:t>Deliverable 5</w:t>
            </w:r>
          </w:p>
        </w:tc>
        <w:tc>
          <w:tcPr>
            <w:tcW w:w="2835" w:type="dxa"/>
          </w:tcPr>
          <w:p w:rsidR="00DB5546" w:rsidRDefault="005324B9">
            <w:pPr>
              <w:pStyle w:val="TableParagraph"/>
              <w:ind w:left="108"/>
              <w:rPr>
                <w:sz w:val="21"/>
              </w:rPr>
            </w:pPr>
            <w:r>
              <w:rPr>
                <w:sz w:val="21"/>
              </w:rPr>
              <w:t>Custom Report</w:t>
            </w:r>
          </w:p>
        </w:tc>
        <w:tc>
          <w:tcPr>
            <w:tcW w:w="1274" w:type="dxa"/>
          </w:tcPr>
          <w:p w:rsidR="00DB5546" w:rsidRDefault="005324B9">
            <w:pPr>
              <w:pStyle w:val="TableParagraph"/>
              <w:ind w:left="108"/>
              <w:rPr>
                <w:sz w:val="21"/>
              </w:rPr>
            </w:pPr>
            <w:r>
              <w:rPr>
                <w:sz w:val="21"/>
              </w:rPr>
              <w:t>6</w:t>
            </w:r>
          </w:p>
        </w:tc>
        <w:tc>
          <w:tcPr>
            <w:tcW w:w="1560" w:type="dxa"/>
          </w:tcPr>
          <w:p w:rsidR="00DB5546" w:rsidRDefault="005324B9">
            <w:pPr>
              <w:pStyle w:val="TableParagraph"/>
              <w:ind w:left="108"/>
              <w:rPr>
                <w:sz w:val="21"/>
              </w:rPr>
            </w:pPr>
            <w:r>
              <w:rPr>
                <w:sz w:val="21"/>
              </w:rPr>
              <w:t>€ 7,200</w:t>
            </w:r>
          </w:p>
        </w:tc>
      </w:tr>
      <w:tr w:rsidR="00DB5546">
        <w:trPr>
          <w:trHeight w:val="476"/>
        </w:trPr>
        <w:tc>
          <w:tcPr>
            <w:tcW w:w="4385" w:type="dxa"/>
            <w:gridSpan w:val="2"/>
            <w:shd w:val="clear" w:color="auto" w:fill="666699"/>
          </w:tcPr>
          <w:p w:rsidR="00DB5546" w:rsidRPr="00205D57" w:rsidRDefault="005324B9">
            <w:pPr>
              <w:pStyle w:val="TableParagraph"/>
              <w:spacing w:before="14"/>
              <w:rPr>
                <w:sz w:val="21"/>
                <w:highlight w:val="yellow"/>
              </w:rPr>
            </w:pPr>
            <w:r w:rsidRPr="00205D57">
              <w:rPr>
                <w:sz w:val="21"/>
                <w:highlight w:val="yellow"/>
              </w:rPr>
              <w:t>TOTAL:</w:t>
            </w:r>
          </w:p>
        </w:tc>
        <w:tc>
          <w:tcPr>
            <w:tcW w:w="1274" w:type="dxa"/>
            <w:tcBorders>
              <w:right w:val="nil"/>
            </w:tcBorders>
            <w:shd w:val="clear" w:color="auto" w:fill="666699"/>
          </w:tcPr>
          <w:p w:rsidR="00DB5546" w:rsidRPr="00205D57" w:rsidRDefault="005324B9">
            <w:pPr>
              <w:pStyle w:val="TableParagraph"/>
              <w:spacing w:before="14"/>
              <w:ind w:left="108"/>
              <w:rPr>
                <w:sz w:val="21"/>
                <w:highlight w:val="yellow"/>
              </w:rPr>
            </w:pPr>
            <w:r w:rsidRPr="00205D57">
              <w:rPr>
                <w:sz w:val="21"/>
                <w:highlight w:val="yellow"/>
              </w:rPr>
              <w:t>28</w:t>
            </w:r>
          </w:p>
        </w:tc>
        <w:tc>
          <w:tcPr>
            <w:tcW w:w="1560" w:type="dxa"/>
            <w:tcBorders>
              <w:left w:val="nil"/>
            </w:tcBorders>
            <w:shd w:val="clear" w:color="auto" w:fill="666699"/>
          </w:tcPr>
          <w:p w:rsidR="00DB5546" w:rsidRPr="00205D57" w:rsidRDefault="005324B9">
            <w:pPr>
              <w:pStyle w:val="TableParagraph"/>
              <w:spacing w:before="14"/>
              <w:ind w:left="118"/>
              <w:rPr>
                <w:sz w:val="21"/>
                <w:highlight w:val="yellow"/>
              </w:rPr>
            </w:pPr>
            <w:r w:rsidRPr="00205D57">
              <w:rPr>
                <w:sz w:val="21"/>
                <w:highlight w:val="yellow"/>
              </w:rPr>
              <w:t xml:space="preserve">€ </w:t>
            </w:r>
            <w:commentRangeStart w:id="23"/>
            <w:r w:rsidRPr="00205D57">
              <w:rPr>
                <w:sz w:val="21"/>
                <w:highlight w:val="yellow"/>
              </w:rPr>
              <w:t>33</w:t>
            </w:r>
            <w:commentRangeEnd w:id="23"/>
            <w:r w:rsidR="000563A5">
              <w:rPr>
                <w:rStyle w:val="CommentReference"/>
              </w:rPr>
              <w:commentReference w:id="23"/>
            </w:r>
            <w:r w:rsidRPr="00205D57">
              <w:rPr>
                <w:sz w:val="21"/>
                <w:highlight w:val="yellow"/>
              </w:rPr>
              <w:t>,600</w:t>
            </w:r>
          </w:p>
        </w:tc>
      </w:tr>
    </w:tbl>
    <w:p w:rsidR="00DB5546" w:rsidRDefault="00DB5546">
      <w:pPr>
        <w:rPr>
          <w:sz w:val="21"/>
        </w:rPr>
        <w:sectPr w:rsidR="00DB5546">
          <w:pgSz w:w="11910" w:h="16840"/>
          <w:pgMar w:top="1340" w:right="1060" w:bottom="1200" w:left="1340" w:header="838" w:footer="1014" w:gutter="0"/>
          <w:cols w:space="720"/>
        </w:sectPr>
      </w:pPr>
    </w:p>
    <w:p w:rsidR="00DB5546" w:rsidRDefault="00DB5546">
      <w:pPr>
        <w:pStyle w:val="BodyText"/>
        <w:rPr>
          <w:sz w:val="24"/>
        </w:rPr>
      </w:pPr>
    </w:p>
    <w:p w:rsidR="00DB5546" w:rsidRDefault="00DB5546">
      <w:pPr>
        <w:pStyle w:val="BodyText"/>
        <w:spacing w:before="9"/>
        <w:rPr>
          <w:sz w:val="33"/>
        </w:rPr>
      </w:pPr>
    </w:p>
    <w:p w:rsidR="00DB5546" w:rsidRDefault="005324B9">
      <w:pPr>
        <w:pStyle w:val="Heading3"/>
      </w:pPr>
      <w:bookmarkStart w:id="24" w:name="_bookmark19"/>
      <w:bookmarkEnd w:id="24"/>
      <w:r>
        <w:t>Fixed Fee</w:t>
      </w:r>
    </w:p>
    <w:p w:rsidR="00DB5546" w:rsidRDefault="005324B9">
      <w:pPr>
        <w:pStyle w:val="Heading1"/>
        <w:spacing w:before="118"/>
        <w:ind w:left="100" w:right="0"/>
        <w:jc w:val="left"/>
      </w:pPr>
      <w:r>
        <w:br w:type="column"/>
      </w:r>
      <w:r>
        <w:rPr>
          <w:color w:val="0A5293"/>
        </w:rPr>
        <w:lastRenderedPageBreak/>
        <w:t>Payment Terms</w:t>
      </w:r>
    </w:p>
    <w:p w:rsidR="00DB5546" w:rsidRDefault="00DB5546">
      <w:pPr>
        <w:sectPr w:rsidR="00DB5546">
          <w:pgSz w:w="11910" w:h="16840"/>
          <w:pgMar w:top="1340" w:right="1060" w:bottom="1200" w:left="1340" w:header="838" w:footer="1014" w:gutter="0"/>
          <w:cols w:num="2" w:space="720" w:equalWidth="0">
            <w:col w:w="1212" w:space="1822"/>
            <w:col w:w="6476"/>
          </w:cols>
        </w:sectPr>
      </w:pPr>
    </w:p>
    <w:p w:rsidR="00DB5546" w:rsidRDefault="00DB5546">
      <w:pPr>
        <w:pStyle w:val="BodyText"/>
        <w:spacing w:before="7"/>
        <w:rPr>
          <w:sz w:val="10"/>
        </w:rPr>
      </w:pPr>
    </w:p>
    <w:p w:rsidR="00DB5546" w:rsidRDefault="005324B9">
      <w:pPr>
        <w:pStyle w:val="BodyText"/>
        <w:spacing w:before="114" w:line="316" w:lineRule="auto"/>
        <w:ind w:left="100" w:right="472"/>
      </w:pPr>
      <w:proofErr w:type="spellStart"/>
      <w:r>
        <w:t>Globex</w:t>
      </w:r>
      <w:proofErr w:type="spellEnd"/>
      <w:r>
        <w:t xml:space="preserve"> will invoice the Customer following signature of this Statement of Work and </w:t>
      </w:r>
      <w:commentRangeStart w:id="25"/>
      <w:r>
        <w:t>payments shall be due net thirty (30) days from invoice date</w:t>
      </w:r>
      <w:commentRangeEnd w:id="25"/>
      <w:r w:rsidR="003C2460">
        <w:rPr>
          <w:rStyle w:val="CommentReference"/>
        </w:rPr>
        <w:commentReference w:id="25"/>
      </w:r>
      <w:r>
        <w:t xml:space="preserve">. Without limiting its rights or remedies, </w:t>
      </w:r>
      <w:proofErr w:type="spellStart"/>
      <w:r>
        <w:t>Globex</w:t>
      </w:r>
      <w:proofErr w:type="spellEnd"/>
      <w:r>
        <w:t xml:space="preserve"> shall have the right to halt or terminate entirely any services until payment is received on past-due invoices.</w:t>
      </w:r>
    </w:p>
    <w:p w:rsidR="00DB5546" w:rsidRDefault="005324B9">
      <w:pPr>
        <w:pStyle w:val="BodyText"/>
        <w:spacing w:before="160" w:line="314" w:lineRule="auto"/>
        <w:ind w:left="100" w:right="655"/>
      </w:pPr>
      <w:r>
        <w:t xml:space="preserve">Customer shall pay to </w:t>
      </w:r>
      <w:proofErr w:type="spellStart"/>
      <w:r>
        <w:t>Globex</w:t>
      </w:r>
      <w:proofErr w:type="spellEnd"/>
      <w:r>
        <w:t xml:space="preserve"> a fee of thirty-three thousand six hundred </w:t>
      </w:r>
      <w:commentRangeStart w:id="26"/>
      <w:r w:rsidRPr="00965C25">
        <w:rPr>
          <w:highlight w:val="yellow"/>
        </w:rPr>
        <w:t>Euros (€33,600) (“Fee”)</w:t>
      </w:r>
      <w:r>
        <w:t xml:space="preserve"> </w:t>
      </w:r>
      <w:commentRangeEnd w:id="26"/>
      <w:r w:rsidR="003C2460">
        <w:rPr>
          <w:rStyle w:val="CommentReference"/>
        </w:rPr>
        <w:commentReference w:id="26"/>
      </w:r>
      <w:r>
        <w:t>for Services described in this Statement of Work, plus actual expenses incurred for the duration of the project.</w:t>
      </w:r>
    </w:p>
    <w:p w:rsidR="00DB5546" w:rsidRDefault="00DB5546">
      <w:pPr>
        <w:pStyle w:val="BodyText"/>
        <w:spacing w:before="9"/>
        <w:rPr>
          <w:sz w:val="18"/>
        </w:rPr>
      </w:pPr>
    </w:p>
    <w:p w:rsidR="00DB5546" w:rsidRDefault="005324B9">
      <w:pPr>
        <w:pStyle w:val="Heading1"/>
        <w:spacing w:before="126"/>
        <w:ind w:left="2228"/>
      </w:pPr>
      <w:bookmarkStart w:id="27" w:name="_bookmark20"/>
      <w:bookmarkEnd w:id="27"/>
      <w:r>
        <w:rPr>
          <w:color w:val="0A5293"/>
        </w:rPr>
        <w:t>Expenses</w:t>
      </w:r>
    </w:p>
    <w:p w:rsidR="00DB5546" w:rsidRDefault="005324B9">
      <w:pPr>
        <w:pStyle w:val="BodyText"/>
        <w:spacing w:before="92" w:line="316" w:lineRule="auto"/>
        <w:ind w:left="100" w:right="732"/>
        <w:jc w:val="both"/>
      </w:pPr>
      <w:r>
        <w:t xml:space="preserve">Estimates do not include travel and related expenses </w:t>
      </w:r>
      <w:proofErr w:type="spellStart"/>
      <w:r>
        <w:t>Globex</w:t>
      </w:r>
      <w:proofErr w:type="spellEnd"/>
      <w:r>
        <w:t xml:space="preserve"> may incur in support of this engagement. </w:t>
      </w:r>
      <w:proofErr w:type="spellStart"/>
      <w:r>
        <w:t>Globex</w:t>
      </w:r>
      <w:proofErr w:type="spellEnd"/>
      <w:r>
        <w:t xml:space="preserve"> will send an invoice on a monthly basis for expenses incurred during the previous month. Payments for such invoices are due net thirty (30) days from date of invoice.</w:t>
      </w:r>
    </w:p>
    <w:p w:rsidR="00DB5546" w:rsidRDefault="005324B9">
      <w:pPr>
        <w:pStyle w:val="BodyText"/>
        <w:spacing w:before="160"/>
        <w:ind w:left="100"/>
        <w:jc w:val="both"/>
      </w:pPr>
      <w:r>
        <w:t>Terms &amp; Conditions</w:t>
      </w:r>
    </w:p>
    <w:p w:rsidR="00DB5546" w:rsidRDefault="00DB5546">
      <w:pPr>
        <w:pStyle w:val="BodyText"/>
        <w:spacing w:before="8"/>
        <w:rPr>
          <w:sz w:val="20"/>
        </w:rPr>
      </w:pPr>
    </w:p>
    <w:p w:rsidR="00DB5546" w:rsidRDefault="005324B9">
      <w:pPr>
        <w:spacing w:line="309" w:lineRule="auto"/>
        <w:ind w:left="100" w:right="584"/>
        <w:rPr>
          <w:sz w:val="21"/>
        </w:rPr>
      </w:pPr>
      <w:proofErr w:type="spellStart"/>
      <w:r>
        <w:rPr>
          <w:sz w:val="21"/>
        </w:rPr>
        <w:t>Globex</w:t>
      </w:r>
      <w:proofErr w:type="spellEnd"/>
      <w:r>
        <w:rPr>
          <w:sz w:val="21"/>
        </w:rPr>
        <w:t xml:space="preserve"> Standard Terms and Conditions govern this Statement of Work and may be viewed at </w:t>
      </w:r>
      <w:commentRangeStart w:id="28"/>
      <w:r w:rsidR="005B2E1A">
        <w:fldChar w:fldCharType="begin"/>
      </w:r>
      <w:r w:rsidR="005B2E1A">
        <w:instrText xml:space="preserve"> HYPERLINK "http://www.globex.com/saas/agreements/master.html" \h </w:instrText>
      </w:r>
      <w:r w:rsidR="005B2E1A">
        <w:fldChar w:fldCharType="separate"/>
      </w:r>
      <w:r>
        <w:rPr>
          <w:rFonts w:ascii="Verdana"/>
          <w:sz w:val="20"/>
          <w:u w:val="single"/>
        </w:rPr>
        <w:t>http://www.globex.com/saas/agreements/master.html</w:t>
      </w:r>
      <w:r>
        <w:rPr>
          <w:sz w:val="21"/>
        </w:rPr>
        <w:t>.</w:t>
      </w:r>
      <w:r w:rsidR="005B2E1A">
        <w:rPr>
          <w:sz w:val="21"/>
        </w:rPr>
        <w:fldChar w:fldCharType="end"/>
      </w:r>
      <w:commentRangeEnd w:id="28"/>
      <w:r w:rsidR="009A1398">
        <w:rPr>
          <w:rStyle w:val="CommentReference"/>
        </w:rPr>
        <w:commentReference w:id="28"/>
      </w:r>
    </w:p>
    <w:p w:rsidR="00205D57" w:rsidRDefault="00205D57">
      <w:pPr>
        <w:spacing w:line="309" w:lineRule="auto"/>
        <w:ind w:left="100" w:right="584"/>
        <w:rPr>
          <w:sz w:val="21"/>
        </w:rPr>
      </w:pPr>
    </w:p>
    <w:p w:rsidR="00205D57" w:rsidRDefault="00205D57">
      <w:pPr>
        <w:spacing w:line="309" w:lineRule="auto"/>
        <w:ind w:left="100" w:right="584"/>
        <w:rPr>
          <w:sz w:val="21"/>
        </w:rPr>
      </w:pPr>
    </w:p>
    <w:p w:rsidR="00DB5546" w:rsidRDefault="00DB5546">
      <w:pPr>
        <w:pStyle w:val="BodyText"/>
        <w:spacing w:before="7"/>
        <w:rPr>
          <w:sz w:val="29"/>
        </w:rPr>
      </w:pPr>
    </w:p>
    <w:p w:rsidR="00DB5546" w:rsidRDefault="005324B9">
      <w:pPr>
        <w:pStyle w:val="Heading1"/>
        <w:ind w:right="2504"/>
      </w:pPr>
      <w:bookmarkStart w:id="29" w:name="_bookmark21"/>
      <w:bookmarkEnd w:id="29"/>
      <w:r>
        <w:rPr>
          <w:color w:val="0A5293"/>
        </w:rPr>
        <w:t>Signatures</w:t>
      </w:r>
    </w:p>
    <w:p w:rsidR="00DB5546" w:rsidRDefault="00DB5546">
      <w:pPr>
        <w:pStyle w:val="BodyText"/>
        <w:rPr>
          <w:sz w:val="20"/>
        </w:rPr>
      </w:pPr>
    </w:p>
    <w:p w:rsidR="00DB5546" w:rsidRDefault="00DB5546">
      <w:pPr>
        <w:pStyle w:val="BodyText"/>
        <w:spacing w:before="10"/>
        <w:rPr>
          <w:sz w:val="28"/>
        </w:rPr>
      </w:pPr>
    </w:p>
    <w:tbl>
      <w:tblPr>
        <w:tblW w:w="9425" w:type="dxa"/>
        <w:tblInd w:w="110" w:type="dxa"/>
        <w:tblLayout w:type="fixed"/>
        <w:tblCellMar>
          <w:left w:w="0" w:type="dxa"/>
          <w:right w:w="0" w:type="dxa"/>
        </w:tblCellMar>
        <w:tblLook w:val="01E0" w:firstRow="1" w:lastRow="1" w:firstColumn="1" w:lastColumn="1" w:noHBand="0" w:noVBand="0"/>
      </w:tblPr>
      <w:tblGrid>
        <w:gridCol w:w="869"/>
        <w:gridCol w:w="3047"/>
        <w:gridCol w:w="1418"/>
        <w:gridCol w:w="3817"/>
        <w:gridCol w:w="274"/>
      </w:tblGrid>
      <w:tr w:rsidR="00DB5546" w:rsidTr="00511B95">
        <w:trPr>
          <w:trHeight w:val="1011"/>
        </w:trPr>
        <w:tc>
          <w:tcPr>
            <w:tcW w:w="3916" w:type="dxa"/>
            <w:gridSpan w:val="2"/>
            <w:tcBorders>
              <w:top w:val="single" w:sz="4" w:space="0" w:color="666699"/>
              <w:left w:val="single" w:sz="4" w:space="0" w:color="666699"/>
            </w:tcBorders>
          </w:tcPr>
          <w:p w:rsidR="00205D57" w:rsidRDefault="00511B95" w:rsidP="00511B95">
            <w:pPr>
              <w:pStyle w:val="TableParagraph"/>
              <w:spacing w:line="477" w:lineRule="auto"/>
              <w:ind w:right="1833"/>
              <w:rPr>
                <w:sz w:val="21"/>
              </w:rPr>
            </w:pPr>
            <w:proofErr w:type="spellStart"/>
            <w:r>
              <w:rPr>
                <w:sz w:val="21"/>
              </w:rPr>
              <w:t>Globex</w:t>
            </w:r>
            <w:proofErr w:type="spellEnd"/>
            <w:r>
              <w:rPr>
                <w:sz w:val="21"/>
              </w:rPr>
              <w:t>, Inc. Consulting services</w:t>
            </w:r>
          </w:p>
        </w:tc>
        <w:tc>
          <w:tcPr>
            <w:tcW w:w="1418" w:type="dxa"/>
            <w:tcBorders>
              <w:top w:val="single" w:sz="4" w:space="0" w:color="666699"/>
            </w:tcBorders>
          </w:tcPr>
          <w:p w:rsidR="00DB5546" w:rsidRDefault="00DB5546">
            <w:pPr>
              <w:pStyle w:val="TableParagraph"/>
              <w:spacing w:before="10"/>
              <w:ind w:left="0"/>
              <w:rPr>
                <w:sz w:val="21"/>
              </w:rPr>
            </w:pPr>
          </w:p>
          <w:p w:rsidR="00DB5546" w:rsidRDefault="005324B9">
            <w:pPr>
              <w:pStyle w:val="TableParagraph"/>
              <w:spacing w:before="0"/>
              <w:ind w:left="0" w:right="25"/>
              <w:jc w:val="right"/>
              <w:rPr>
                <w:sz w:val="21"/>
              </w:rPr>
            </w:pPr>
            <w:r>
              <w:rPr>
                <w:sz w:val="21"/>
              </w:rPr>
              <w:t>ACME</w:t>
            </w:r>
          </w:p>
        </w:tc>
        <w:tc>
          <w:tcPr>
            <w:tcW w:w="3817" w:type="dxa"/>
            <w:tcBorders>
              <w:top w:val="single" w:sz="4" w:space="0" w:color="666699"/>
              <w:right w:val="single" w:sz="4" w:space="0" w:color="666699"/>
            </w:tcBorders>
          </w:tcPr>
          <w:p w:rsidR="00DB5546" w:rsidRDefault="00DB5546">
            <w:pPr>
              <w:pStyle w:val="TableParagraph"/>
              <w:spacing w:before="0"/>
              <w:ind w:left="0"/>
              <w:rPr>
                <w:rFonts w:ascii="Times New Roman"/>
                <w:sz w:val="20"/>
              </w:rPr>
            </w:pPr>
          </w:p>
        </w:tc>
        <w:tc>
          <w:tcPr>
            <w:tcW w:w="274" w:type="dxa"/>
            <w:tcBorders>
              <w:left w:val="single" w:sz="4" w:space="0" w:color="666699"/>
              <w:bottom w:val="single" w:sz="18" w:space="0" w:color="666699"/>
            </w:tcBorders>
          </w:tcPr>
          <w:p w:rsidR="00DB5546" w:rsidRDefault="00DB5546">
            <w:pPr>
              <w:pStyle w:val="TableParagraph"/>
              <w:spacing w:before="0"/>
              <w:ind w:left="0"/>
              <w:rPr>
                <w:rFonts w:ascii="Times New Roman"/>
                <w:sz w:val="20"/>
              </w:rPr>
            </w:pPr>
          </w:p>
        </w:tc>
      </w:tr>
      <w:tr w:rsidR="00DB5546" w:rsidTr="00511B95">
        <w:trPr>
          <w:trHeight w:val="894"/>
        </w:trPr>
        <w:tc>
          <w:tcPr>
            <w:tcW w:w="869" w:type="dxa"/>
          </w:tcPr>
          <w:p w:rsidR="00DB5546" w:rsidRPr="00785F09" w:rsidRDefault="00DB5546" w:rsidP="00511B95">
            <w:pPr>
              <w:pStyle w:val="TableParagraph"/>
              <w:spacing w:before="10"/>
              <w:ind w:left="0"/>
              <w:rPr>
                <w:sz w:val="31"/>
                <w:highlight w:val="yellow"/>
              </w:rPr>
            </w:pPr>
          </w:p>
          <w:p w:rsidR="00DB5546" w:rsidRPr="00785F09" w:rsidRDefault="005324B9" w:rsidP="00511B95">
            <w:pPr>
              <w:pStyle w:val="TableParagraph"/>
              <w:spacing w:before="0"/>
              <w:rPr>
                <w:sz w:val="21"/>
                <w:highlight w:val="yellow"/>
              </w:rPr>
            </w:pPr>
            <w:r w:rsidRPr="00785F09">
              <w:rPr>
                <w:sz w:val="21"/>
                <w:highlight w:val="yellow"/>
              </w:rPr>
              <w:t>Name:</w:t>
            </w:r>
          </w:p>
        </w:tc>
        <w:tc>
          <w:tcPr>
            <w:tcW w:w="3047" w:type="dxa"/>
          </w:tcPr>
          <w:p w:rsidR="00DB5546" w:rsidRPr="00785F09" w:rsidRDefault="00DB5546" w:rsidP="00511B95">
            <w:pPr>
              <w:pStyle w:val="TableParagraph"/>
              <w:spacing w:before="0"/>
              <w:ind w:left="0"/>
              <w:rPr>
                <w:highlight w:val="yellow"/>
              </w:rPr>
            </w:pPr>
          </w:p>
          <w:p w:rsidR="00DB5546" w:rsidRPr="00785F09" w:rsidRDefault="00DB5546" w:rsidP="00511B95">
            <w:pPr>
              <w:pStyle w:val="TableParagraph"/>
              <w:spacing w:before="2"/>
              <w:ind w:left="0"/>
              <w:rPr>
                <w:sz w:val="20"/>
                <w:highlight w:val="yellow"/>
              </w:rPr>
            </w:pPr>
          </w:p>
          <w:p w:rsidR="00DB5546" w:rsidRPr="00785F09" w:rsidRDefault="005324B9" w:rsidP="00511B95">
            <w:pPr>
              <w:pStyle w:val="TableParagraph"/>
              <w:spacing w:before="0" w:line="214" w:lineRule="exact"/>
              <w:ind w:left="483"/>
              <w:rPr>
                <w:rFonts w:ascii="Arial"/>
                <w:sz w:val="20"/>
                <w:highlight w:val="yellow"/>
              </w:rPr>
            </w:pPr>
            <w:commentRangeStart w:id="30"/>
            <w:r w:rsidRPr="00785F09">
              <w:rPr>
                <w:rFonts w:ascii="Arial"/>
                <w:sz w:val="20"/>
                <w:highlight w:val="yellow"/>
              </w:rPr>
              <w:t>Anil Kapadia</w:t>
            </w:r>
            <w:commentRangeEnd w:id="30"/>
            <w:r w:rsidR="000563A5">
              <w:rPr>
                <w:rStyle w:val="CommentReference"/>
              </w:rPr>
              <w:commentReference w:id="30"/>
            </w:r>
          </w:p>
        </w:tc>
        <w:tc>
          <w:tcPr>
            <w:tcW w:w="1418" w:type="dxa"/>
          </w:tcPr>
          <w:p w:rsidR="00DB5546" w:rsidRPr="00785F09" w:rsidRDefault="00DB5546" w:rsidP="00511B95">
            <w:pPr>
              <w:pStyle w:val="TableParagraph"/>
              <w:spacing w:before="10"/>
              <w:ind w:left="0"/>
              <w:rPr>
                <w:sz w:val="31"/>
                <w:highlight w:val="yellow"/>
              </w:rPr>
            </w:pPr>
          </w:p>
          <w:p w:rsidR="00DB5546" w:rsidRPr="00785F09" w:rsidRDefault="005324B9" w:rsidP="00511B95">
            <w:pPr>
              <w:pStyle w:val="TableParagraph"/>
              <w:spacing w:before="0"/>
              <w:ind w:left="0" w:right="37"/>
              <w:rPr>
                <w:sz w:val="21"/>
                <w:highlight w:val="yellow"/>
              </w:rPr>
            </w:pPr>
            <w:r w:rsidRPr="00785F09">
              <w:rPr>
                <w:sz w:val="21"/>
                <w:highlight w:val="yellow"/>
              </w:rPr>
              <w:t>Name:</w:t>
            </w:r>
          </w:p>
        </w:tc>
        <w:tc>
          <w:tcPr>
            <w:tcW w:w="3817" w:type="dxa"/>
          </w:tcPr>
          <w:p w:rsidR="00DB5546" w:rsidRPr="00785F09" w:rsidRDefault="00DB5546" w:rsidP="00511B95">
            <w:pPr>
              <w:pStyle w:val="TableParagraph"/>
              <w:spacing w:before="7"/>
              <w:ind w:left="0"/>
              <w:rPr>
                <w:sz w:val="31"/>
                <w:highlight w:val="yellow"/>
              </w:rPr>
            </w:pPr>
          </w:p>
          <w:p w:rsidR="00DB5546" w:rsidRPr="00785F09" w:rsidRDefault="005324B9" w:rsidP="00511B95">
            <w:pPr>
              <w:pStyle w:val="TableParagraph"/>
              <w:spacing w:before="0"/>
              <w:ind w:left="723"/>
              <w:rPr>
                <w:rFonts w:ascii="Arial"/>
                <w:sz w:val="20"/>
                <w:highlight w:val="yellow"/>
              </w:rPr>
            </w:pPr>
            <w:r w:rsidRPr="00785F09">
              <w:rPr>
                <w:rFonts w:ascii="Arial"/>
                <w:sz w:val="20"/>
                <w:highlight w:val="yellow"/>
              </w:rPr>
              <w:t>Satish Prasad</w:t>
            </w:r>
          </w:p>
        </w:tc>
        <w:tc>
          <w:tcPr>
            <w:tcW w:w="274" w:type="dxa"/>
            <w:vMerge w:val="restart"/>
            <w:tcBorders>
              <w:top w:val="single" w:sz="18" w:space="0" w:color="666699"/>
              <w:left w:val="nil"/>
            </w:tcBorders>
          </w:tcPr>
          <w:p w:rsidR="00DB5546" w:rsidRDefault="00DB5546">
            <w:pPr>
              <w:pStyle w:val="TableParagraph"/>
              <w:spacing w:before="0"/>
              <w:ind w:left="0"/>
              <w:rPr>
                <w:rFonts w:ascii="Times New Roman"/>
                <w:sz w:val="20"/>
              </w:rPr>
            </w:pPr>
          </w:p>
        </w:tc>
      </w:tr>
      <w:tr w:rsidR="00DB5546" w:rsidTr="00511B95">
        <w:trPr>
          <w:trHeight w:val="595"/>
        </w:trPr>
        <w:tc>
          <w:tcPr>
            <w:tcW w:w="869" w:type="dxa"/>
          </w:tcPr>
          <w:p w:rsidR="00DB5546" w:rsidRPr="00785F09" w:rsidRDefault="005324B9" w:rsidP="00511B95">
            <w:pPr>
              <w:pStyle w:val="TableParagraph"/>
              <w:spacing w:before="125"/>
              <w:rPr>
                <w:sz w:val="21"/>
                <w:highlight w:val="yellow"/>
              </w:rPr>
            </w:pPr>
            <w:r w:rsidRPr="00785F09">
              <w:rPr>
                <w:sz w:val="21"/>
                <w:highlight w:val="yellow"/>
              </w:rPr>
              <w:t>Title :</w:t>
            </w:r>
          </w:p>
        </w:tc>
        <w:tc>
          <w:tcPr>
            <w:tcW w:w="3047" w:type="dxa"/>
          </w:tcPr>
          <w:p w:rsidR="00DB5546" w:rsidRPr="00785F09" w:rsidRDefault="005324B9" w:rsidP="00511B95">
            <w:pPr>
              <w:pStyle w:val="TableParagraph"/>
              <w:spacing w:before="125"/>
              <w:ind w:left="0" w:right="702"/>
              <w:rPr>
                <w:sz w:val="21"/>
                <w:highlight w:val="yellow"/>
              </w:rPr>
            </w:pPr>
            <w:commentRangeStart w:id="31"/>
            <w:r w:rsidRPr="00785F09">
              <w:rPr>
                <w:sz w:val="21"/>
                <w:highlight w:val="yellow"/>
              </w:rPr>
              <w:t>VP consulting services</w:t>
            </w:r>
            <w:commentRangeEnd w:id="31"/>
            <w:r w:rsidR="009A1398">
              <w:rPr>
                <w:rStyle w:val="CommentReference"/>
              </w:rPr>
              <w:commentReference w:id="31"/>
            </w:r>
          </w:p>
        </w:tc>
        <w:tc>
          <w:tcPr>
            <w:tcW w:w="1418" w:type="dxa"/>
          </w:tcPr>
          <w:p w:rsidR="00DB5546" w:rsidRPr="00785F09" w:rsidRDefault="005324B9" w:rsidP="00511B95">
            <w:pPr>
              <w:pStyle w:val="TableParagraph"/>
              <w:spacing w:before="125"/>
              <w:ind w:left="0" w:right="160"/>
              <w:rPr>
                <w:sz w:val="21"/>
                <w:highlight w:val="yellow"/>
              </w:rPr>
            </w:pPr>
            <w:r w:rsidRPr="00785F09">
              <w:rPr>
                <w:sz w:val="21"/>
                <w:highlight w:val="yellow"/>
              </w:rPr>
              <w:t>Title:</w:t>
            </w:r>
          </w:p>
        </w:tc>
        <w:tc>
          <w:tcPr>
            <w:tcW w:w="3817" w:type="dxa"/>
          </w:tcPr>
          <w:p w:rsidR="00DB5546" w:rsidRPr="00785F09" w:rsidRDefault="005324B9" w:rsidP="00511B95">
            <w:pPr>
              <w:pStyle w:val="TableParagraph"/>
              <w:spacing w:before="125"/>
              <w:ind w:left="173"/>
              <w:rPr>
                <w:sz w:val="21"/>
                <w:highlight w:val="yellow"/>
              </w:rPr>
            </w:pPr>
            <w:r w:rsidRPr="00785F09">
              <w:rPr>
                <w:sz w:val="21"/>
                <w:highlight w:val="yellow"/>
              </w:rPr>
              <w:t>Procurement Director</w:t>
            </w:r>
          </w:p>
        </w:tc>
        <w:tc>
          <w:tcPr>
            <w:tcW w:w="274" w:type="dxa"/>
            <w:vMerge/>
            <w:tcBorders>
              <w:top w:val="nil"/>
              <w:left w:val="nil"/>
            </w:tcBorders>
          </w:tcPr>
          <w:p w:rsidR="00DB5546" w:rsidRDefault="00DB5546">
            <w:pPr>
              <w:rPr>
                <w:sz w:val="2"/>
                <w:szCs w:val="2"/>
              </w:rPr>
            </w:pPr>
          </w:p>
        </w:tc>
      </w:tr>
      <w:tr w:rsidR="00DB5546" w:rsidTr="00511B95">
        <w:trPr>
          <w:trHeight w:val="735"/>
        </w:trPr>
        <w:tc>
          <w:tcPr>
            <w:tcW w:w="869" w:type="dxa"/>
          </w:tcPr>
          <w:p w:rsidR="00DB5546" w:rsidRPr="00785F09" w:rsidRDefault="005324B9" w:rsidP="00511B95">
            <w:pPr>
              <w:pStyle w:val="TableParagraph"/>
              <w:spacing w:before="125"/>
              <w:rPr>
                <w:sz w:val="21"/>
                <w:highlight w:val="yellow"/>
              </w:rPr>
            </w:pPr>
            <w:r w:rsidRPr="00785F09">
              <w:rPr>
                <w:sz w:val="21"/>
                <w:highlight w:val="yellow"/>
              </w:rPr>
              <w:t>Date :</w:t>
            </w:r>
          </w:p>
          <w:p w:rsidR="00511B95" w:rsidRPr="00785F09" w:rsidRDefault="00511B95" w:rsidP="00511B95">
            <w:pPr>
              <w:pStyle w:val="TableParagraph"/>
              <w:spacing w:before="125"/>
              <w:rPr>
                <w:sz w:val="21"/>
                <w:highlight w:val="yellow"/>
              </w:rPr>
            </w:pPr>
          </w:p>
          <w:p w:rsidR="00511B95" w:rsidRPr="00785F09" w:rsidRDefault="00511B95" w:rsidP="00511B95">
            <w:pPr>
              <w:pStyle w:val="TableParagraph"/>
              <w:spacing w:before="125"/>
              <w:rPr>
                <w:sz w:val="21"/>
                <w:highlight w:val="yellow"/>
              </w:rPr>
            </w:pPr>
            <w:r w:rsidRPr="00785F09">
              <w:rPr>
                <w:sz w:val="21"/>
                <w:highlight w:val="yellow"/>
              </w:rPr>
              <w:t>Notice Address</w:t>
            </w:r>
          </w:p>
        </w:tc>
        <w:tc>
          <w:tcPr>
            <w:tcW w:w="3047" w:type="dxa"/>
          </w:tcPr>
          <w:p w:rsidR="00DB5546" w:rsidRPr="00785F09" w:rsidRDefault="003C2460" w:rsidP="00511B95">
            <w:pPr>
              <w:pStyle w:val="TableParagraph"/>
              <w:spacing w:before="171"/>
              <w:ind w:left="0" w:right="716"/>
              <w:rPr>
                <w:rFonts w:ascii="Arial"/>
                <w:sz w:val="20"/>
                <w:highlight w:val="yellow"/>
              </w:rPr>
            </w:pPr>
            <w:r>
              <w:rPr>
                <w:rFonts w:ascii="Arial"/>
                <w:sz w:val="20"/>
                <w:highlight w:val="yellow"/>
              </w:rPr>
              <w:t>01 October 2021</w:t>
            </w:r>
          </w:p>
          <w:p w:rsidR="00205D57" w:rsidRPr="00785F09" w:rsidRDefault="00205D57" w:rsidP="00511B95">
            <w:pPr>
              <w:pStyle w:val="TableParagraph"/>
              <w:spacing w:before="171"/>
              <w:ind w:left="0" w:right="716"/>
              <w:rPr>
                <w:rFonts w:ascii="Arial"/>
                <w:sz w:val="20"/>
                <w:highlight w:val="yellow"/>
              </w:rPr>
            </w:pPr>
          </w:p>
          <w:p w:rsidR="00511B95" w:rsidRPr="00785F09" w:rsidRDefault="00511B95" w:rsidP="00511B95">
            <w:pPr>
              <w:pStyle w:val="TableParagraph"/>
              <w:spacing w:before="171"/>
              <w:ind w:left="0" w:right="716"/>
              <w:rPr>
                <w:rFonts w:ascii="Arial"/>
                <w:sz w:val="20"/>
                <w:highlight w:val="yellow"/>
              </w:rPr>
            </w:pPr>
            <w:commentRangeStart w:id="32"/>
            <w:proofErr w:type="spellStart"/>
            <w:r w:rsidRPr="00785F09">
              <w:rPr>
                <w:rFonts w:ascii="Arial"/>
                <w:sz w:val="20"/>
                <w:highlight w:val="yellow"/>
              </w:rPr>
              <w:t>Dwarkamai</w:t>
            </w:r>
            <w:proofErr w:type="spellEnd"/>
            <w:r w:rsidRPr="00785F09">
              <w:rPr>
                <w:rFonts w:ascii="Arial"/>
                <w:sz w:val="20"/>
                <w:highlight w:val="yellow"/>
              </w:rPr>
              <w:t xml:space="preserve"> , </w:t>
            </w:r>
            <w:proofErr w:type="spellStart"/>
            <w:r w:rsidRPr="00785F09">
              <w:rPr>
                <w:rFonts w:ascii="Arial"/>
                <w:sz w:val="20"/>
                <w:highlight w:val="yellow"/>
              </w:rPr>
              <w:t>Ayodhya</w:t>
            </w:r>
            <w:proofErr w:type="spellEnd"/>
            <w:r w:rsidRPr="00785F09">
              <w:rPr>
                <w:rFonts w:ascii="Arial"/>
                <w:sz w:val="20"/>
                <w:highlight w:val="yellow"/>
              </w:rPr>
              <w:t xml:space="preserve"> </w:t>
            </w:r>
            <w:proofErr w:type="spellStart"/>
            <w:r w:rsidRPr="00785F09">
              <w:rPr>
                <w:rFonts w:ascii="Arial"/>
                <w:sz w:val="20"/>
                <w:highlight w:val="yellow"/>
              </w:rPr>
              <w:t>nagar</w:t>
            </w:r>
            <w:proofErr w:type="spellEnd"/>
            <w:r w:rsidRPr="00785F09">
              <w:rPr>
                <w:rFonts w:ascii="Arial"/>
                <w:sz w:val="20"/>
                <w:highlight w:val="yellow"/>
              </w:rPr>
              <w:t>, Nagpur, Street 440024</w:t>
            </w:r>
            <w:commentRangeEnd w:id="32"/>
            <w:r w:rsidR="009A1398">
              <w:rPr>
                <w:rStyle w:val="CommentReference"/>
              </w:rPr>
              <w:commentReference w:id="32"/>
            </w:r>
          </w:p>
        </w:tc>
        <w:tc>
          <w:tcPr>
            <w:tcW w:w="1418" w:type="dxa"/>
          </w:tcPr>
          <w:p w:rsidR="00DB5546" w:rsidRPr="00785F09" w:rsidRDefault="005324B9" w:rsidP="00511B95">
            <w:pPr>
              <w:pStyle w:val="TableParagraph"/>
              <w:spacing w:before="125"/>
              <w:ind w:left="0" w:right="152"/>
              <w:rPr>
                <w:sz w:val="21"/>
                <w:highlight w:val="yellow"/>
              </w:rPr>
            </w:pPr>
            <w:r w:rsidRPr="00785F09">
              <w:rPr>
                <w:sz w:val="21"/>
                <w:highlight w:val="yellow"/>
              </w:rPr>
              <w:t>Date:</w:t>
            </w:r>
          </w:p>
          <w:p w:rsidR="00205D57" w:rsidRPr="00785F09" w:rsidRDefault="00205D57" w:rsidP="00511B95">
            <w:pPr>
              <w:pStyle w:val="TableParagraph"/>
              <w:spacing w:before="125"/>
              <w:ind w:left="0" w:right="152"/>
              <w:rPr>
                <w:sz w:val="21"/>
                <w:highlight w:val="yellow"/>
              </w:rPr>
            </w:pPr>
          </w:p>
          <w:p w:rsidR="00511B95" w:rsidRPr="00785F09" w:rsidRDefault="00511B95" w:rsidP="00511B95">
            <w:pPr>
              <w:pStyle w:val="TableParagraph"/>
              <w:spacing w:before="125"/>
              <w:ind w:left="0" w:right="152"/>
              <w:rPr>
                <w:sz w:val="21"/>
                <w:highlight w:val="yellow"/>
              </w:rPr>
            </w:pPr>
            <w:r w:rsidRPr="00785F09">
              <w:rPr>
                <w:sz w:val="21"/>
                <w:highlight w:val="yellow"/>
              </w:rPr>
              <w:t>Notice Address</w:t>
            </w:r>
          </w:p>
        </w:tc>
        <w:tc>
          <w:tcPr>
            <w:tcW w:w="3817" w:type="dxa"/>
          </w:tcPr>
          <w:p w:rsidR="003C2460" w:rsidRPr="00785F09" w:rsidRDefault="003C2460" w:rsidP="003C2460">
            <w:pPr>
              <w:pStyle w:val="TableParagraph"/>
              <w:spacing w:before="171"/>
              <w:ind w:left="0" w:right="716"/>
              <w:rPr>
                <w:rFonts w:ascii="Arial"/>
                <w:sz w:val="20"/>
                <w:highlight w:val="yellow"/>
              </w:rPr>
            </w:pPr>
            <w:r>
              <w:rPr>
                <w:rFonts w:ascii="Arial"/>
                <w:sz w:val="20"/>
                <w:highlight w:val="yellow"/>
              </w:rPr>
              <w:t>01 October 2021</w:t>
            </w:r>
          </w:p>
          <w:p w:rsidR="00205D57" w:rsidRPr="00785F09" w:rsidRDefault="00205D57" w:rsidP="00511B95">
            <w:pPr>
              <w:pStyle w:val="TableParagraph"/>
              <w:spacing w:before="151"/>
              <w:rPr>
                <w:sz w:val="21"/>
                <w:highlight w:val="yellow"/>
              </w:rPr>
            </w:pPr>
          </w:p>
          <w:p w:rsidR="00205D57" w:rsidRPr="00785F09" w:rsidRDefault="00511B95" w:rsidP="00511B95">
            <w:pPr>
              <w:pStyle w:val="TableParagraph"/>
              <w:spacing w:before="171"/>
              <w:ind w:left="0" w:right="716"/>
              <w:rPr>
                <w:rFonts w:ascii="Arial"/>
                <w:sz w:val="20"/>
                <w:highlight w:val="yellow"/>
              </w:rPr>
            </w:pPr>
            <w:r w:rsidRPr="00785F09">
              <w:rPr>
                <w:rFonts w:ascii="Arial"/>
                <w:sz w:val="20"/>
                <w:highlight w:val="yellow"/>
              </w:rPr>
              <w:t>Kumar Pavilion, 2424, East Street, Camp, Next To Victory Cinema, Pune, Maharashtra 411001</w:t>
            </w:r>
          </w:p>
          <w:p w:rsidR="00511B95" w:rsidRPr="00785F09" w:rsidRDefault="00511B95" w:rsidP="00511B95">
            <w:pPr>
              <w:pStyle w:val="TableParagraph"/>
              <w:spacing w:before="151"/>
              <w:ind w:left="503"/>
              <w:rPr>
                <w:sz w:val="21"/>
                <w:highlight w:val="yellow"/>
              </w:rPr>
            </w:pPr>
          </w:p>
          <w:p w:rsidR="00205D57" w:rsidRPr="00785F09" w:rsidRDefault="00205D57" w:rsidP="00511B95">
            <w:pPr>
              <w:pStyle w:val="TableParagraph"/>
              <w:spacing w:before="151"/>
              <w:ind w:left="503"/>
              <w:rPr>
                <w:sz w:val="21"/>
                <w:highlight w:val="yellow"/>
              </w:rPr>
            </w:pPr>
          </w:p>
        </w:tc>
        <w:tc>
          <w:tcPr>
            <w:tcW w:w="274" w:type="dxa"/>
            <w:vMerge/>
            <w:tcBorders>
              <w:top w:val="nil"/>
              <w:left w:val="nil"/>
              <w:bottom w:val="nil"/>
            </w:tcBorders>
          </w:tcPr>
          <w:p w:rsidR="00DB5546" w:rsidRDefault="00DB5546">
            <w:pPr>
              <w:rPr>
                <w:sz w:val="2"/>
                <w:szCs w:val="2"/>
              </w:rPr>
            </w:pPr>
          </w:p>
        </w:tc>
      </w:tr>
      <w:tr w:rsidR="00511B95" w:rsidTr="00511B95">
        <w:trPr>
          <w:trHeight w:val="735"/>
        </w:trPr>
        <w:tc>
          <w:tcPr>
            <w:tcW w:w="869" w:type="dxa"/>
          </w:tcPr>
          <w:p w:rsidR="00511B95" w:rsidRPr="00785F09" w:rsidRDefault="00511B95" w:rsidP="00511B95">
            <w:pPr>
              <w:pStyle w:val="TableParagraph"/>
              <w:spacing w:before="125"/>
              <w:rPr>
                <w:sz w:val="21"/>
                <w:highlight w:val="yellow"/>
              </w:rPr>
            </w:pPr>
            <w:r w:rsidRPr="00785F09">
              <w:rPr>
                <w:sz w:val="21"/>
                <w:highlight w:val="yellow"/>
              </w:rPr>
              <w:t>Email</w:t>
            </w:r>
          </w:p>
        </w:tc>
        <w:tc>
          <w:tcPr>
            <w:tcW w:w="3047" w:type="dxa"/>
          </w:tcPr>
          <w:p w:rsidR="00511B95" w:rsidRPr="00785F09" w:rsidRDefault="00511B95" w:rsidP="00511B95">
            <w:pPr>
              <w:pStyle w:val="TableParagraph"/>
              <w:spacing w:before="171"/>
              <w:ind w:left="0" w:right="716"/>
              <w:rPr>
                <w:rFonts w:ascii="Arial"/>
                <w:sz w:val="20"/>
                <w:highlight w:val="yellow"/>
              </w:rPr>
            </w:pPr>
            <w:commentRangeStart w:id="33"/>
            <w:r w:rsidRPr="00785F09">
              <w:rPr>
                <w:rFonts w:ascii="Arial"/>
                <w:sz w:val="20"/>
                <w:highlight w:val="yellow"/>
              </w:rPr>
              <w:t>support@acme.com</w:t>
            </w:r>
            <w:commentRangeEnd w:id="33"/>
            <w:r w:rsidR="009A1398">
              <w:rPr>
                <w:rStyle w:val="CommentReference"/>
              </w:rPr>
              <w:commentReference w:id="33"/>
            </w:r>
          </w:p>
        </w:tc>
        <w:tc>
          <w:tcPr>
            <w:tcW w:w="1418" w:type="dxa"/>
          </w:tcPr>
          <w:p w:rsidR="00511B95" w:rsidRPr="00785F09" w:rsidRDefault="00511B95" w:rsidP="00511B95">
            <w:pPr>
              <w:pStyle w:val="TableParagraph"/>
              <w:spacing w:before="125"/>
              <w:ind w:left="0" w:right="152"/>
              <w:rPr>
                <w:sz w:val="21"/>
                <w:highlight w:val="yellow"/>
              </w:rPr>
            </w:pPr>
            <w:r w:rsidRPr="00785F09">
              <w:rPr>
                <w:sz w:val="21"/>
                <w:highlight w:val="yellow"/>
              </w:rPr>
              <w:t>Email</w:t>
            </w:r>
          </w:p>
        </w:tc>
        <w:tc>
          <w:tcPr>
            <w:tcW w:w="3817" w:type="dxa"/>
          </w:tcPr>
          <w:p w:rsidR="00511B95" w:rsidRPr="00785F09" w:rsidRDefault="00511B95" w:rsidP="00511B95">
            <w:pPr>
              <w:pStyle w:val="TableParagraph"/>
              <w:spacing w:before="151"/>
              <w:ind w:left="503"/>
              <w:rPr>
                <w:sz w:val="21"/>
                <w:highlight w:val="yellow"/>
              </w:rPr>
            </w:pPr>
            <w:r w:rsidRPr="00785F09">
              <w:rPr>
                <w:rFonts w:ascii="Arial"/>
                <w:sz w:val="20"/>
                <w:highlight w:val="yellow"/>
              </w:rPr>
              <w:t>clientsupport@globex.com</w:t>
            </w:r>
          </w:p>
        </w:tc>
        <w:tc>
          <w:tcPr>
            <w:tcW w:w="274" w:type="dxa"/>
            <w:tcBorders>
              <w:top w:val="nil"/>
              <w:left w:val="nil"/>
              <w:bottom w:val="nil"/>
            </w:tcBorders>
          </w:tcPr>
          <w:p w:rsidR="00511B95" w:rsidRDefault="00511B95">
            <w:pPr>
              <w:rPr>
                <w:sz w:val="2"/>
                <w:szCs w:val="2"/>
              </w:rPr>
            </w:pPr>
          </w:p>
        </w:tc>
      </w:tr>
      <w:tr w:rsidR="00511B95" w:rsidTr="00511B95">
        <w:trPr>
          <w:trHeight w:val="70"/>
        </w:trPr>
        <w:tc>
          <w:tcPr>
            <w:tcW w:w="869" w:type="dxa"/>
          </w:tcPr>
          <w:p w:rsidR="00511B95" w:rsidRPr="00785F09" w:rsidRDefault="00511B95">
            <w:pPr>
              <w:pStyle w:val="TableParagraph"/>
              <w:spacing w:before="125"/>
              <w:rPr>
                <w:sz w:val="21"/>
                <w:highlight w:val="yellow"/>
              </w:rPr>
            </w:pPr>
            <w:r w:rsidRPr="00785F09">
              <w:rPr>
                <w:sz w:val="21"/>
                <w:highlight w:val="yellow"/>
              </w:rPr>
              <w:lastRenderedPageBreak/>
              <w:t>Contact Email Id</w:t>
            </w:r>
          </w:p>
        </w:tc>
        <w:commentRangeStart w:id="34"/>
        <w:tc>
          <w:tcPr>
            <w:tcW w:w="3047" w:type="dxa"/>
          </w:tcPr>
          <w:p w:rsidR="00511B95" w:rsidRPr="00785F09" w:rsidRDefault="005B2E1A">
            <w:pPr>
              <w:pStyle w:val="TableParagraph"/>
              <w:spacing w:before="171"/>
              <w:ind w:left="0" w:right="716"/>
              <w:jc w:val="right"/>
              <w:rPr>
                <w:rFonts w:ascii="Arial"/>
                <w:sz w:val="20"/>
                <w:highlight w:val="yellow"/>
              </w:rPr>
            </w:pPr>
            <w:r>
              <w:fldChar w:fldCharType="begin"/>
            </w:r>
            <w:r>
              <w:instrText xml:space="preserve"> HYPERLINK "mailto:Anil.kapadia@acme.com" </w:instrText>
            </w:r>
            <w:r>
              <w:fldChar w:fldCharType="separate"/>
            </w:r>
            <w:r w:rsidR="00511B95" w:rsidRPr="00785F09">
              <w:rPr>
                <w:rStyle w:val="Hyperlink"/>
                <w:rFonts w:ascii="Arial"/>
                <w:sz w:val="20"/>
                <w:highlight w:val="yellow"/>
              </w:rPr>
              <w:t>Anil.kapadia@acme.com</w:t>
            </w:r>
            <w:r>
              <w:rPr>
                <w:rStyle w:val="Hyperlink"/>
                <w:rFonts w:ascii="Arial"/>
                <w:sz w:val="20"/>
                <w:highlight w:val="yellow"/>
              </w:rPr>
              <w:fldChar w:fldCharType="end"/>
            </w:r>
            <w:commentRangeEnd w:id="34"/>
            <w:r w:rsidR="009A1398">
              <w:rPr>
                <w:rStyle w:val="CommentReference"/>
              </w:rPr>
              <w:commentReference w:id="34"/>
            </w:r>
          </w:p>
        </w:tc>
        <w:tc>
          <w:tcPr>
            <w:tcW w:w="1418" w:type="dxa"/>
          </w:tcPr>
          <w:p w:rsidR="00511B95" w:rsidRPr="00785F09" w:rsidRDefault="00511B95">
            <w:pPr>
              <w:pStyle w:val="TableParagraph"/>
              <w:spacing w:before="125"/>
              <w:ind w:left="0" w:right="152"/>
              <w:jc w:val="right"/>
              <w:rPr>
                <w:sz w:val="21"/>
                <w:highlight w:val="yellow"/>
              </w:rPr>
            </w:pPr>
            <w:r w:rsidRPr="00785F09">
              <w:rPr>
                <w:sz w:val="21"/>
                <w:highlight w:val="yellow"/>
              </w:rPr>
              <w:t>Contact Email ID</w:t>
            </w:r>
          </w:p>
        </w:tc>
        <w:tc>
          <w:tcPr>
            <w:tcW w:w="3817" w:type="dxa"/>
          </w:tcPr>
          <w:p w:rsidR="00511B95" w:rsidRPr="00785F09" w:rsidRDefault="00511B95" w:rsidP="00511B95">
            <w:pPr>
              <w:pStyle w:val="TableParagraph"/>
              <w:spacing w:before="151"/>
              <w:ind w:left="503"/>
              <w:rPr>
                <w:sz w:val="21"/>
                <w:highlight w:val="yellow"/>
              </w:rPr>
            </w:pPr>
            <w:r w:rsidRPr="00785F09">
              <w:rPr>
                <w:sz w:val="21"/>
                <w:highlight w:val="yellow"/>
              </w:rPr>
              <w:t>Satish.prasad@globex.com</w:t>
            </w:r>
          </w:p>
        </w:tc>
        <w:tc>
          <w:tcPr>
            <w:tcW w:w="274" w:type="dxa"/>
            <w:tcBorders>
              <w:top w:val="nil"/>
              <w:left w:val="nil"/>
              <w:bottom w:val="nil"/>
            </w:tcBorders>
          </w:tcPr>
          <w:p w:rsidR="00511B95" w:rsidRDefault="00511B95">
            <w:pPr>
              <w:rPr>
                <w:sz w:val="2"/>
                <w:szCs w:val="2"/>
              </w:rPr>
            </w:pPr>
          </w:p>
        </w:tc>
      </w:tr>
      <w:tr w:rsidR="00205D57" w:rsidTr="00511B95">
        <w:trPr>
          <w:trHeight w:val="735"/>
        </w:trPr>
        <w:tc>
          <w:tcPr>
            <w:tcW w:w="869" w:type="dxa"/>
          </w:tcPr>
          <w:p w:rsidR="00205D57" w:rsidRDefault="00205D57">
            <w:pPr>
              <w:pStyle w:val="TableParagraph"/>
              <w:spacing w:before="125"/>
              <w:rPr>
                <w:sz w:val="21"/>
              </w:rPr>
            </w:pPr>
          </w:p>
        </w:tc>
        <w:tc>
          <w:tcPr>
            <w:tcW w:w="3047" w:type="dxa"/>
          </w:tcPr>
          <w:p w:rsidR="00205D57" w:rsidRDefault="00205D57">
            <w:pPr>
              <w:pStyle w:val="TableParagraph"/>
              <w:spacing w:before="171"/>
              <w:ind w:left="0" w:right="716"/>
              <w:jc w:val="right"/>
              <w:rPr>
                <w:rFonts w:ascii="Arial"/>
                <w:sz w:val="20"/>
              </w:rPr>
            </w:pPr>
          </w:p>
        </w:tc>
        <w:tc>
          <w:tcPr>
            <w:tcW w:w="1418" w:type="dxa"/>
          </w:tcPr>
          <w:p w:rsidR="00205D57" w:rsidRDefault="00205D57">
            <w:pPr>
              <w:pStyle w:val="TableParagraph"/>
              <w:spacing w:before="125"/>
              <w:ind w:left="0" w:right="152"/>
              <w:jc w:val="right"/>
              <w:rPr>
                <w:sz w:val="21"/>
              </w:rPr>
            </w:pPr>
          </w:p>
        </w:tc>
        <w:tc>
          <w:tcPr>
            <w:tcW w:w="3817" w:type="dxa"/>
          </w:tcPr>
          <w:p w:rsidR="00205D57" w:rsidRDefault="00205D57" w:rsidP="00205D57">
            <w:pPr>
              <w:pStyle w:val="TableParagraph"/>
              <w:spacing w:before="151"/>
              <w:ind w:left="503"/>
              <w:rPr>
                <w:rFonts w:ascii="Arial"/>
                <w:sz w:val="20"/>
              </w:rPr>
            </w:pPr>
          </w:p>
        </w:tc>
        <w:tc>
          <w:tcPr>
            <w:tcW w:w="274" w:type="dxa"/>
            <w:tcBorders>
              <w:top w:val="nil"/>
              <w:left w:val="nil"/>
            </w:tcBorders>
          </w:tcPr>
          <w:p w:rsidR="00205D57" w:rsidRDefault="00205D57">
            <w:pPr>
              <w:rPr>
                <w:sz w:val="2"/>
                <w:szCs w:val="2"/>
              </w:rPr>
            </w:pPr>
          </w:p>
        </w:tc>
      </w:tr>
    </w:tbl>
    <w:p w:rsidR="005324B9" w:rsidRDefault="005324B9"/>
    <w:sectPr w:rsidR="005324B9">
      <w:type w:val="continuous"/>
      <w:pgSz w:w="11910" w:h="16840"/>
      <w:pgMar w:top="1580" w:right="1060" w:bottom="280" w:left="13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Anjali Khandelwal" w:date="2021-12-29T12:13:00Z" w:initials="AK">
    <w:p w:rsidR="00526611" w:rsidRDefault="00526611">
      <w:pPr>
        <w:pStyle w:val="CommentText"/>
      </w:pPr>
      <w:r>
        <w:rPr>
          <w:rStyle w:val="CommentReference"/>
        </w:rPr>
        <w:annotationRef/>
      </w:r>
      <w:r>
        <w:t>SOW Number</w:t>
      </w:r>
    </w:p>
  </w:comment>
  <w:comment w:id="3" w:author="Anjali Khandelwal" w:date="2021-12-30T12:21:00Z" w:initials="AK">
    <w:p w:rsidR="005F3A31" w:rsidRDefault="005F3A31">
      <w:pPr>
        <w:pStyle w:val="CommentText"/>
      </w:pPr>
      <w:r>
        <w:rPr>
          <w:rStyle w:val="CommentReference"/>
        </w:rPr>
        <w:annotationRef/>
      </w:r>
      <w:r w:rsidR="000563A5">
        <w:t>Signed Date</w:t>
      </w:r>
    </w:p>
  </w:comment>
  <w:comment w:id="5" w:author="Anjali Khandelwal" w:date="2021-12-30T12:22:00Z" w:initials="AK">
    <w:p w:rsidR="000563A5" w:rsidRDefault="000563A5">
      <w:pPr>
        <w:pStyle w:val="CommentText"/>
      </w:pPr>
      <w:r>
        <w:rPr>
          <w:rStyle w:val="CommentReference"/>
        </w:rPr>
        <w:annotationRef/>
      </w:r>
      <w:r>
        <w:t>Client Company Name</w:t>
      </w:r>
    </w:p>
  </w:comment>
  <w:comment w:id="6" w:author="Anjali Khandelwal" w:date="2021-12-30T12:22:00Z" w:initials="AK">
    <w:p w:rsidR="000563A5" w:rsidRDefault="000563A5">
      <w:pPr>
        <w:pStyle w:val="CommentText"/>
      </w:pPr>
      <w:r>
        <w:rPr>
          <w:rStyle w:val="CommentReference"/>
        </w:rPr>
        <w:annotationRef/>
      </w:r>
      <w:r>
        <w:t>Client Type</w:t>
      </w:r>
    </w:p>
  </w:comment>
  <w:comment w:id="7" w:author="Anjali Khandelwal" w:date="2021-12-30T12:33:00Z" w:initials="AK">
    <w:p w:rsidR="009A1398" w:rsidRDefault="009A1398">
      <w:pPr>
        <w:pStyle w:val="CommentText"/>
      </w:pPr>
      <w:r>
        <w:rPr>
          <w:rStyle w:val="CommentReference"/>
        </w:rPr>
        <w:annotationRef/>
      </w:r>
      <w:r>
        <w:t>Service Start Date</w:t>
      </w:r>
    </w:p>
  </w:comment>
  <w:comment w:id="21" w:author="Anjali Khandelwal" w:date="2021-12-30T12:36:00Z" w:initials="AK">
    <w:p w:rsidR="003C2460" w:rsidRDefault="003C2460">
      <w:pPr>
        <w:pStyle w:val="CommentText"/>
      </w:pPr>
      <w:r>
        <w:rPr>
          <w:rStyle w:val="CommentReference"/>
        </w:rPr>
        <w:annotationRef/>
      </w:r>
      <w:r>
        <w:t>Payment Mode</w:t>
      </w:r>
    </w:p>
  </w:comment>
  <w:comment w:id="23" w:author="Anjali Khandelwal" w:date="2021-12-30T12:23:00Z" w:initials="AK">
    <w:p w:rsidR="000563A5" w:rsidRDefault="000563A5">
      <w:pPr>
        <w:pStyle w:val="CommentText"/>
      </w:pPr>
      <w:r>
        <w:rPr>
          <w:rStyle w:val="CommentReference"/>
        </w:rPr>
        <w:annotationRef/>
      </w:r>
      <w:r>
        <w:t>Amount</w:t>
      </w:r>
    </w:p>
  </w:comment>
  <w:comment w:id="25" w:author="Anjali Khandelwal" w:date="2021-12-30T12:38:00Z" w:initials="AK">
    <w:p w:rsidR="003C2460" w:rsidRDefault="003C2460">
      <w:pPr>
        <w:pStyle w:val="CommentText"/>
      </w:pPr>
      <w:r>
        <w:rPr>
          <w:rStyle w:val="CommentReference"/>
        </w:rPr>
        <w:annotationRef/>
      </w:r>
      <w:r>
        <w:t>Payment Date</w:t>
      </w:r>
    </w:p>
  </w:comment>
  <w:comment w:id="26" w:author="Anjali Khandelwal" w:date="2021-12-30T12:38:00Z" w:initials="AK">
    <w:p w:rsidR="003C2460" w:rsidRDefault="003C2460">
      <w:pPr>
        <w:pStyle w:val="CommentText"/>
      </w:pPr>
      <w:r>
        <w:rPr>
          <w:rStyle w:val="CommentReference"/>
        </w:rPr>
        <w:annotationRef/>
      </w:r>
      <w:r>
        <w:t>Payment Amount</w:t>
      </w:r>
    </w:p>
  </w:comment>
  <w:comment w:id="28" w:author="Anjali Khandelwal" w:date="2021-12-30T12:32:00Z" w:initials="AK">
    <w:p w:rsidR="009A1398" w:rsidRDefault="009A1398">
      <w:pPr>
        <w:pStyle w:val="CommentText"/>
      </w:pPr>
      <w:r>
        <w:rPr>
          <w:rStyle w:val="CommentReference"/>
        </w:rPr>
        <w:annotationRef/>
      </w:r>
      <w:r>
        <w:t>URL</w:t>
      </w:r>
    </w:p>
  </w:comment>
  <w:comment w:id="30" w:author="Anjali Khandelwal" w:date="2021-12-30T12:24:00Z" w:initials="AK">
    <w:p w:rsidR="000563A5" w:rsidRDefault="000563A5">
      <w:pPr>
        <w:pStyle w:val="CommentText"/>
      </w:pPr>
      <w:r>
        <w:rPr>
          <w:rStyle w:val="CommentReference"/>
        </w:rPr>
        <w:annotationRef/>
      </w:r>
      <w:r>
        <w:t>Company Contact Person</w:t>
      </w:r>
    </w:p>
  </w:comment>
  <w:comment w:id="31" w:author="Anjali Khandelwal" w:date="2021-12-30T12:24:00Z" w:initials="AK">
    <w:p w:rsidR="009A1398" w:rsidRDefault="009A1398">
      <w:pPr>
        <w:pStyle w:val="CommentText"/>
      </w:pPr>
      <w:r>
        <w:rPr>
          <w:rStyle w:val="CommentReference"/>
        </w:rPr>
        <w:annotationRef/>
      </w:r>
      <w:r>
        <w:t>Company Title</w:t>
      </w:r>
    </w:p>
  </w:comment>
  <w:comment w:id="32" w:author="Anjali Khandelwal" w:date="2021-12-30T12:24:00Z" w:initials="AK">
    <w:p w:rsidR="009A1398" w:rsidRDefault="009A1398">
      <w:pPr>
        <w:pStyle w:val="CommentText"/>
      </w:pPr>
      <w:r>
        <w:rPr>
          <w:rStyle w:val="CommentReference"/>
        </w:rPr>
        <w:annotationRef/>
      </w:r>
      <w:r>
        <w:t>Company Address</w:t>
      </w:r>
    </w:p>
  </w:comment>
  <w:comment w:id="33" w:author="Anjali Khandelwal" w:date="2021-12-30T12:24:00Z" w:initials="AK">
    <w:p w:rsidR="009A1398" w:rsidRDefault="009A1398">
      <w:pPr>
        <w:pStyle w:val="CommentText"/>
      </w:pPr>
      <w:r>
        <w:rPr>
          <w:rStyle w:val="CommentReference"/>
        </w:rPr>
        <w:annotationRef/>
      </w:r>
      <w:r>
        <w:t>Company Support</w:t>
      </w:r>
    </w:p>
  </w:comment>
  <w:comment w:id="34" w:author="Anjali Khandelwal" w:date="2021-12-30T12:24:00Z" w:initials="AK">
    <w:p w:rsidR="009A1398" w:rsidRDefault="009A1398">
      <w:pPr>
        <w:pStyle w:val="CommentText"/>
      </w:pPr>
      <w:r>
        <w:rPr>
          <w:rStyle w:val="CommentReference"/>
        </w:rPr>
        <w:annotationRef/>
      </w:r>
      <w:r>
        <w:t>Company Support Mail Id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1732" w:rsidRDefault="000B1732">
      <w:r>
        <w:separator/>
      </w:r>
    </w:p>
  </w:endnote>
  <w:endnote w:type="continuationSeparator" w:id="0">
    <w:p w:rsidR="000B1732" w:rsidRDefault="000B17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choolbook Uralic">
    <w:altName w:val="Times New Roman"/>
    <w:charset w:val="00"/>
    <w:family w:val="auto"/>
    <w:pitch w:val="variable"/>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5546" w:rsidRDefault="000B1732">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70.25pt;margin-top:780.2pt;width:55.1pt;height:14.7pt;z-index:-16076288;mso-position-horizontal-relative:page;mso-position-vertical-relative:page" filled="f" stroked="f">
          <v:textbox inset="0,0,0,0">
            <w:txbxContent>
              <w:p w:rsidR="00DB5546" w:rsidRDefault="005324B9">
                <w:pPr>
                  <w:pStyle w:val="BodyText"/>
                  <w:spacing w:before="34"/>
                  <w:ind w:left="20"/>
                </w:pPr>
                <w:r>
                  <w:rPr>
                    <w:color w:val="0E6EC5"/>
                  </w:rPr>
                  <w:t xml:space="preserve">Page </w:t>
                </w:r>
                <w:r>
                  <w:fldChar w:fldCharType="begin"/>
                </w:r>
                <w:r>
                  <w:rPr>
                    <w:color w:val="0E6EC5"/>
                  </w:rPr>
                  <w:instrText xml:space="preserve"> PAGE </w:instrText>
                </w:r>
                <w:r>
                  <w:fldChar w:fldCharType="separate"/>
                </w:r>
                <w:r w:rsidR="008E43B2">
                  <w:rPr>
                    <w:noProof/>
                    <w:color w:val="0E6EC5"/>
                  </w:rPr>
                  <w:t>1</w:t>
                </w:r>
                <w:r>
                  <w:fldChar w:fldCharType="end"/>
                </w:r>
                <w:r>
                  <w:rPr>
                    <w:color w:val="0E6EC5"/>
                  </w:rPr>
                  <w:t xml:space="preserve"> of 9</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1732" w:rsidRDefault="000B1732">
      <w:r>
        <w:separator/>
      </w:r>
    </w:p>
  </w:footnote>
  <w:footnote w:type="continuationSeparator" w:id="0">
    <w:p w:rsidR="000B1732" w:rsidRDefault="000B17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5546" w:rsidRDefault="000B1732">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71pt;margin-top:40.9pt;width:453.3pt;height:14.7pt;z-index:-16076800;mso-position-horizontal-relative:page;mso-position-vertical-relative:page" filled="f" stroked="f">
          <v:textbox inset="0,0,0,0">
            <w:txbxContent>
              <w:p w:rsidR="00DB5546" w:rsidRDefault="005324B9">
                <w:pPr>
                  <w:pStyle w:val="BodyText"/>
                  <w:tabs>
                    <w:tab w:val="left" w:pos="2807"/>
                    <w:tab w:val="left" w:pos="9045"/>
                  </w:tabs>
                  <w:spacing w:before="34"/>
                  <w:ind w:left="20"/>
                </w:pPr>
                <w:r>
                  <w:rPr>
                    <w:color w:val="FFFFFF"/>
                    <w:shd w:val="clear" w:color="auto" w:fill="0E6EC5"/>
                  </w:rPr>
                  <w:t xml:space="preserve"> </w:t>
                </w:r>
                <w:r>
                  <w:rPr>
                    <w:color w:val="FFFFFF"/>
                    <w:shd w:val="clear" w:color="auto" w:fill="0E6EC5"/>
                  </w:rPr>
                  <w:tab/>
                  <w:t>SAMPLE STATEMENT OF</w:t>
                </w:r>
                <w:r>
                  <w:rPr>
                    <w:color w:val="FFFFFF"/>
                    <w:spacing w:val="-9"/>
                    <w:shd w:val="clear" w:color="auto" w:fill="0E6EC5"/>
                  </w:rPr>
                  <w:t xml:space="preserve"> </w:t>
                </w:r>
                <w:r>
                  <w:rPr>
                    <w:color w:val="FFFFFF"/>
                    <w:shd w:val="clear" w:color="auto" w:fill="0E6EC5"/>
                  </w:rPr>
                  <w:t>WORK</w:t>
                </w:r>
                <w:r>
                  <w:rPr>
                    <w:color w:val="FFFFFF"/>
                    <w:shd w:val="clear" w:color="auto" w:fill="0E6EC5"/>
                  </w:rPr>
                  <w:tab/>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DE6588"/>
    <w:multiLevelType w:val="hybridMultilevel"/>
    <w:tmpl w:val="DA50C3FC"/>
    <w:lvl w:ilvl="0" w:tplc="3DE62CF6">
      <w:numFmt w:val="bullet"/>
      <w:lvlText w:val=""/>
      <w:lvlJc w:val="left"/>
      <w:pPr>
        <w:ind w:left="820" w:hanging="360"/>
      </w:pPr>
      <w:rPr>
        <w:rFonts w:ascii="Symbol" w:eastAsia="Symbol" w:hAnsi="Symbol" w:cs="Symbol" w:hint="default"/>
        <w:w w:val="100"/>
        <w:sz w:val="21"/>
        <w:szCs w:val="21"/>
        <w:lang w:val="en-US" w:eastAsia="en-US" w:bidi="ar-SA"/>
      </w:rPr>
    </w:lvl>
    <w:lvl w:ilvl="1" w:tplc="50E4CCAA">
      <w:numFmt w:val="bullet"/>
      <w:lvlText w:val="•"/>
      <w:lvlJc w:val="left"/>
      <w:pPr>
        <w:ind w:left="1688" w:hanging="360"/>
      </w:pPr>
      <w:rPr>
        <w:rFonts w:hint="default"/>
        <w:lang w:val="en-US" w:eastAsia="en-US" w:bidi="ar-SA"/>
      </w:rPr>
    </w:lvl>
    <w:lvl w:ilvl="2" w:tplc="30B27F72">
      <w:numFmt w:val="bullet"/>
      <w:lvlText w:val="•"/>
      <w:lvlJc w:val="left"/>
      <w:pPr>
        <w:ind w:left="2557" w:hanging="360"/>
      </w:pPr>
      <w:rPr>
        <w:rFonts w:hint="default"/>
        <w:lang w:val="en-US" w:eastAsia="en-US" w:bidi="ar-SA"/>
      </w:rPr>
    </w:lvl>
    <w:lvl w:ilvl="3" w:tplc="C9821434">
      <w:numFmt w:val="bullet"/>
      <w:lvlText w:val="•"/>
      <w:lvlJc w:val="left"/>
      <w:pPr>
        <w:ind w:left="3425" w:hanging="360"/>
      </w:pPr>
      <w:rPr>
        <w:rFonts w:hint="default"/>
        <w:lang w:val="en-US" w:eastAsia="en-US" w:bidi="ar-SA"/>
      </w:rPr>
    </w:lvl>
    <w:lvl w:ilvl="4" w:tplc="71C2C296">
      <w:numFmt w:val="bullet"/>
      <w:lvlText w:val="•"/>
      <w:lvlJc w:val="left"/>
      <w:pPr>
        <w:ind w:left="4294" w:hanging="360"/>
      </w:pPr>
      <w:rPr>
        <w:rFonts w:hint="default"/>
        <w:lang w:val="en-US" w:eastAsia="en-US" w:bidi="ar-SA"/>
      </w:rPr>
    </w:lvl>
    <w:lvl w:ilvl="5" w:tplc="AD9487F0">
      <w:numFmt w:val="bullet"/>
      <w:lvlText w:val="•"/>
      <w:lvlJc w:val="left"/>
      <w:pPr>
        <w:ind w:left="5163" w:hanging="360"/>
      </w:pPr>
      <w:rPr>
        <w:rFonts w:hint="default"/>
        <w:lang w:val="en-US" w:eastAsia="en-US" w:bidi="ar-SA"/>
      </w:rPr>
    </w:lvl>
    <w:lvl w:ilvl="6" w:tplc="8F7ADFB2">
      <w:numFmt w:val="bullet"/>
      <w:lvlText w:val="•"/>
      <w:lvlJc w:val="left"/>
      <w:pPr>
        <w:ind w:left="6031" w:hanging="360"/>
      </w:pPr>
      <w:rPr>
        <w:rFonts w:hint="default"/>
        <w:lang w:val="en-US" w:eastAsia="en-US" w:bidi="ar-SA"/>
      </w:rPr>
    </w:lvl>
    <w:lvl w:ilvl="7" w:tplc="345AE70A">
      <w:numFmt w:val="bullet"/>
      <w:lvlText w:val="•"/>
      <w:lvlJc w:val="left"/>
      <w:pPr>
        <w:ind w:left="6900" w:hanging="360"/>
      </w:pPr>
      <w:rPr>
        <w:rFonts w:hint="default"/>
        <w:lang w:val="en-US" w:eastAsia="en-US" w:bidi="ar-SA"/>
      </w:rPr>
    </w:lvl>
    <w:lvl w:ilvl="8" w:tplc="289A2716">
      <w:numFmt w:val="bullet"/>
      <w:lvlText w:val="•"/>
      <w:lvlJc w:val="left"/>
      <w:pPr>
        <w:ind w:left="7769" w:hanging="360"/>
      </w:pPr>
      <w:rPr>
        <w:rFonts w:hint="default"/>
        <w:lang w:val="en-US" w:eastAsia="en-US" w:bidi="ar-SA"/>
      </w:rPr>
    </w:lvl>
  </w:abstractNum>
  <w:abstractNum w:abstractNumId="1">
    <w:nsid w:val="3F641B4E"/>
    <w:multiLevelType w:val="hybridMultilevel"/>
    <w:tmpl w:val="483EFFB6"/>
    <w:lvl w:ilvl="0" w:tplc="B69AE796">
      <w:start w:val="1"/>
      <w:numFmt w:val="decimal"/>
      <w:lvlText w:val="%1."/>
      <w:lvlJc w:val="left"/>
      <w:pPr>
        <w:ind w:left="820" w:hanging="360"/>
      </w:pPr>
      <w:rPr>
        <w:rFonts w:ascii="Schoolbook Uralic" w:eastAsia="Schoolbook Uralic" w:hAnsi="Schoolbook Uralic" w:cs="Schoolbook Uralic" w:hint="default"/>
        <w:w w:val="100"/>
        <w:sz w:val="21"/>
        <w:szCs w:val="21"/>
        <w:lang w:val="en-US" w:eastAsia="en-US" w:bidi="ar-SA"/>
      </w:rPr>
    </w:lvl>
    <w:lvl w:ilvl="1" w:tplc="05AE2234">
      <w:numFmt w:val="bullet"/>
      <w:lvlText w:val="•"/>
      <w:lvlJc w:val="left"/>
      <w:pPr>
        <w:ind w:left="1688" w:hanging="360"/>
      </w:pPr>
      <w:rPr>
        <w:rFonts w:hint="default"/>
        <w:lang w:val="en-US" w:eastAsia="en-US" w:bidi="ar-SA"/>
      </w:rPr>
    </w:lvl>
    <w:lvl w:ilvl="2" w:tplc="82E04B26">
      <w:numFmt w:val="bullet"/>
      <w:lvlText w:val="•"/>
      <w:lvlJc w:val="left"/>
      <w:pPr>
        <w:ind w:left="2557" w:hanging="360"/>
      </w:pPr>
      <w:rPr>
        <w:rFonts w:hint="default"/>
        <w:lang w:val="en-US" w:eastAsia="en-US" w:bidi="ar-SA"/>
      </w:rPr>
    </w:lvl>
    <w:lvl w:ilvl="3" w:tplc="70E2F8F8">
      <w:numFmt w:val="bullet"/>
      <w:lvlText w:val="•"/>
      <w:lvlJc w:val="left"/>
      <w:pPr>
        <w:ind w:left="3425" w:hanging="360"/>
      </w:pPr>
      <w:rPr>
        <w:rFonts w:hint="default"/>
        <w:lang w:val="en-US" w:eastAsia="en-US" w:bidi="ar-SA"/>
      </w:rPr>
    </w:lvl>
    <w:lvl w:ilvl="4" w:tplc="C31466F6">
      <w:numFmt w:val="bullet"/>
      <w:lvlText w:val="•"/>
      <w:lvlJc w:val="left"/>
      <w:pPr>
        <w:ind w:left="4294" w:hanging="360"/>
      </w:pPr>
      <w:rPr>
        <w:rFonts w:hint="default"/>
        <w:lang w:val="en-US" w:eastAsia="en-US" w:bidi="ar-SA"/>
      </w:rPr>
    </w:lvl>
    <w:lvl w:ilvl="5" w:tplc="541AF28E">
      <w:numFmt w:val="bullet"/>
      <w:lvlText w:val="•"/>
      <w:lvlJc w:val="left"/>
      <w:pPr>
        <w:ind w:left="5163" w:hanging="360"/>
      </w:pPr>
      <w:rPr>
        <w:rFonts w:hint="default"/>
        <w:lang w:val="en-US" w:eastAsia="en-US" w:bidi="ar-SA"/>
      </w:rPr>
    </w:lvl>
    <w:lvl w:ilvl="6" w:tplc="D68675A8">
      <w:numFmt w:val="bullet"/>
      <w:lvlText w:val="•"/>
      <w:lvlJc w:val="left"/>
      <w:pPr>
        <w:ind w:left="6031" w:hanging="360"/>
      </w:pPr>
      <w:rPr>
        <w:rFonts w:hint="default"/>
        <w:lang w:val="en-US" w:eastAsia="en-US" w:bidi="ar-SA"/>
      </w:rPr>
    </w:lvl>
    <w:lvl w:ilvl="7" w:tplc="3808FAEC">
      <w:numFmt w:val="bullet"/>
      <w:lvlText w:val="•"/>
      <w:lvlJc w:val="left"/>
      <w:pPr>
        <w:ind w:left="6900" w:hanging="360"/>
      </w:pPr>
      <w:rPr>
        <w:rFonts w:hint="default"/>
        <w:lang w:val="en-US" w:eastAsia="en-US" w:bidi="ar-SA"/>
      </w:rPr>
    </w:lvl>
    <w:lvl w:ilvl="8" w:tplc="F378D876">
      <w:numFmt w:val="bullet"/>
      <w:lvlText w:val="•"/>
      <w:lvlJc w:val="left"/>
      <w:pPr>
        <w:ind w:left="7769" w:hanging="360"/>
      </w:pPr>
      <w:rPr>
        <w:rFonts w:hint="default"/>
        <w:lang w:val="en-US" w:eastAsia="en-US" w:bidi="ar-SA"/>
      </w:rPr>
    </w:lvl>
  </w:abstractNum>
  <w:abstractNum w:abstractNumId="2">
    <w:nsid w:val="43EF65FD"/>
    <w:multiLevelType w:val="hybridMultilevel"/>
    <w:tmpl w:val="CCC074E2"/>
    <w:lvl w:ilvl="0" w:tplc="7DF00112">
      <w:start w:val="1"/>
      <w:numFmt w:val="decimal"/>
      <w:lvlText w:val="%1."/>
      <w:lvlJc w:val="left"/>
      <w:pPr>
        <w:ind w:left="820" w:hanging="360"/>
      </w:pPr>
      <w:rPr>
        <w:rFonts w:ascii="Schoolbook Uralic" w:eastAsia="Schoolbook Uralic" w:hAnsi="Schoolbook Uralic" w:cs="Schoolbook Uralic" w:hint="default"/>
        <w:w w:val="100"/>
        <w:sz w:val="21"/>
        <w:szCs w:val="21"/>
        <w:lang w:val="en-US" w:eastAsia="en-US" w:bidi="ar-SA"/>
      </w:rPr>
    </w:lvl>
    <w:lvl w:ilvl="1" w:tplc="4D6EE72C">
      <w:numFmt w:val="bullet"/>
      <w:lvlText w:val="•"/>
      <w:lvlJc w:val="left"/>
      <w:pPr>
        <w:ind w:left="1688" w:hanging="360"/>
      </w:pPr>
      <w:rPr>
        <w:rFonts w:hint="default"/>
        <w:lang w:val="en-US" w:eastAsia="en-US" w:bidi="ar-SA"/>
      </w:rPr>
    </w:lvl>
    <w:lvl w:ilvl="2" w:tplc="1E38AC88">
      <w:numFmt w:val="bullet"/>
      <w:lvlText w:val="•"/>
      <w:lvlJc w:val="left"/>
      <w:pPr>
        <w:ind w:left="2557" w:hanging="360"/>
      </w:pPr>
      <w:rPr>
        <w:rFonts w:hint="default"/>
        <w:lang w:val="en-US" w:eastAsia="en-US" w:bidi="ar-SA"/>
      </w:rPr>
    </w:lvl>
    <w:lvl w:ilvl="3" w:tplc="8A5C8CBC">
      <w:numFmt w:val="bullet"/>
      <w:lvlText w:val="•"/>
      <w:lvlJc w:val="left"/>
      <w:pPr>
        <w:ind w:left="3425" w:hanging="360"/>
      </w:pPr>
      <w:rPr>
        <w:rFonts w:hint="default"/>
        <w:lang w:val="en-US" w:eastAsia="en-US" w:bidi="ar-SA"/>
      </w:rPr>
    </w:lvl>
    <w:lvl w:ilvl="4" w:tplc="B22E1EEA">
      <w:numFmt w:val="bullet"/>
      <w:lvlText w:val="•"/>
      <w:lvlJc w:val="left"/>
      <w:pPr>
        <w:ind w:left="4294" w:hanging="360"/>
      </w:pPr>
      <w:rPr>
        <w:rFonts w:hint="default"/>
        <w:lang w:val="en-US" w:eastAsia="en-US" w:bidi="ar-SA"/>
      </w:rPr>
    </w:lvl>
    <w:lvl w:ilvl="5" w:tplc="76C84A40">
      <w:numFmt w:val="bullet"/>
      <w:lvlText w:val="•"/>
      <w:lvlJc w:val="left"/>
      <w:pPr>
        <w:ind w:left="5163" w:hanging="360"/>
      </w:pPr>
      <w:rPr>
        <w:rFonts w:hint="default"/>
        <w:lang w:val="en-US" w:eastAsia="en-US" w:bidi="ar-SA"/>
      </w:rPr>
    </w:lvl>
    <w:lvl w:ilvl="6" w:tplc="D34ED9C2">
      <w:numFmt w:val="bullet"/>
      <w:lvlText w:val="•"/>
      <w:lvlJc w:val="left"/>
      <w:pPr>
        <w:ind w:left="6031" w:hanging="360"/>
      </w:pPr>
      <w:rPr>
        <w:rFonts w:hint="default"/>
        <w:lang w:val="en-US" w:eastAsia="en-US" w:bidi="ar-SA"/>
      </w:rPr>
    </w:lvl>
    <w:lvl w:ilvl="7" w:tplc="699034DC">
      <w:numFmt w:val="bullet"/>
      <w:lvlText w:val="•"/>
      <w:lvlJc w:val="left"/>
      <w:pPr>
        <w:ind w:left="6900" w:hanging="360"/>
      </w:pPr>
      <w:rPr>
        <w:rFonts w:hint="default"/>
        <w:lang w:val="en-US" w:eastAsia="en-US" w:bidi="ar-SA"/>
      </w:rPr>
    </w:lvl>
    <w:lvl w:ilvl="8" w:tplc="56B25622">
      <w:numFmt w:val="bullet"/>
      <w:lvlText w:val="•"/>
      <w:lvlJc w:val="left"/>
      <w:pPr>
        <w:ind w:left="7769" w:hanging="360"/>
      </w:pPr>
      <w:rPr>
        <w:rFonts w:hint="default"/>
        <w:lang w:val="en-US" w:eastAsia="en-US" w:bidi="ar-SA"/>
      </w:rPr>
    </w:lvl>
  </w:abstractNum>
  <w:abstractNum w:abstractNumId="3">
    <w:nsid w:val="5AE13145"/>
    <w:multiLevelType w:val="hybridMultilevel"/>
    <w:tmpl w:val="B00C4596"/>
    <w:lvl w:ilvl="0" w:tplc="084E02C2">
      <w:start w:val="1"/>
      <w:numFmt w:val="decimal"/>
      <w:lvlText w:val="%1."/>
      <w:lvlJc w:val="left"/>
      <w:pPr>
        <w:ind w:left="820" w:hanging="360"/>
      </w:pPr>
      <w:rPr>
        <w:rFonts w:ascii="Schoolbook Uralic" w:eastAsia="Schoolbook Uralic" w:hAnsi="Schoolbook Uralic" w:cs="Schoolbook Uralic" w:hint="default"/>
        <w:w w:val="100"/>
        <w:sz w:val="21"/>
        <w:szCs w:val="21"/>
        <w:lang w:val="en-US" w:eastAsia="en-US" w:bidi="ar-SA"/>
      </w:rPr>
    </w:lvl>
    <w:lvl w:ilvl="1" w:tplc="1BAE6970">
      <w:numFmt w:val="bullet"/>
      <w:lvlText w:val=""/>
      <w:lvlJc w:val="left"/>
      <w:pPr>
        <w:ind w:left="1540" w:hanging="360"/>
      </w:pPr>
      <w:rPr>
        <w:rFonts w:ascii="Symbol" w:eastAsia="Symbol" w:hAnsi="Symbol" w:cs="Symbol" w:hint="default"/>
        <w:w w:val="100"/>
        <w:sz w:val="21"/>
        <w:szCs w:val="21"/>
        <w:lang w:val="en-US" w:eastAsia="en-US" w:bidi="ar-SA"/>
      </w:rPr>
    </w:lvl>
    <w:lvl w:ilvl="2" w:tplc="60622A26">
      <w:numFmt w:val="bullet"/>
      <w:lvlText w:val="•"/>
      <w:lvlJc w:val="left"/>
      <w:pPr>
        <w:ind w:left="2425" w:hanging="360"/>
      </w:pPr>
      <w:rPr>
        <w:rFonts w:hint="default"/>
        <w:lang w:val="en-US" w:eastAsia="en-US" w:bidi="ar-SA"/>
      </w:rPr>
    </w:lvl>
    <w:lvl w:ilvl="3" w:tplc="3ADEC04C">
      <w:numFmt w:val="bullet"/>
      <w:lvlText w:val="•"/>
      <w:lvlJc w:val="left"/>
      <w:pPr>
        <w:ind w:left="3310" w:hanging="360"/>
      </w:pPr>
      <w:rPr>
        <w:rFonts w:hint="default"/>
        <w:lang w:val="en-US" w:eastAsia="en-US" w:bidi="ar-SA"/>
      </w:rPr>
    </w:lvl>
    <w:lvl w:ilvl="4" w:tplc="B9FA3994">
      <w:numFmt w:val="bullet"/>
      <w:lvlText w:val="•"/>
      <w:lvlJc w:val="left"/>
      <w:pPr>
        <w:ind w:left="4195" w:hanging="360"/>
      </w:pPr>
      <w:rPr>
        <w:rFonts w:hint="default"/>
        <w:lang w:val="en-US" w:eastAsia="en-US" w:bidi="ar-SA"/>
      </w:rPr>
    </w:lvl>
    <w:lvl w:ilvl="5" w:tplc="6E54F450">
      <w:numFmt w:val="bullet"/>
      <w:lvlText w:val="•"/>
      <w:lvlJc w:val="left"/>
      <w:pPr>
        <w:ind w:left="5080" w:hanging="360"/>
      </w:pPr>
      <w:rPr>
        <w:rFonts w:hint="default"/>
        <w:lang w:val="en-US" w:eastAsia="en-US" w:bidi="ar-SA"/>
      </w:rPr>
    </w:lvl>
    <w:lvl w:ilvl="6" w:tplc="508803AC">
      <w:numFmt w:val="bullet"/>
      <w:lvlText w:val="•"/>
      <w:lvlJc w:val="left"/>
      <w:pPr>
        <w:ind w:left="5965" w:hanging="360"/>
      </w:pPr>
      <w:rPr>
        <w:rFonts w:hint="default"/>
        <w:lang w:val="en-US" w:eastAsia="en-US" w:bidi="ar-SA"/>
      </w:rPr>
    </w:lvl>
    <w:lvl w:ilvl="7" w:tplc="497C9018">
      <w:numFmt w:val="bullet"/>
      <w:lvlText w:val="•"/>
      <w:lvlJc w:val="left"/>
      <w:pPr>
        <w:ind w:left="6850" w:hanging="360"/>
      </w:pPr>
      <w:rPr>
        <w:rFonts w:hint="default"/>
        <w:lang w:val="en-US" w:eastAsia="en-US" w:bidi="ar-SA"/>
      </w:rPr>
    </w:lvl>
    <w:lvl w:ilvl="8" w:tplc="77A0C600">
      <w:numFmt w:val="bullet"/>
      <w:lvlText w:val="•"/>
      <w:lvlJc w:val="left"/>
      <w:pPr>
        <w:ind w:left="7736" w:hanging="360"/>
      </w:pPr>
      <w:rPr>
        <w:rFonts w:hint="default"/>
        <w:lang w:val="en-US" w:eastAsia="en-US" w:bidi="ar-SA"/>
      </w:rPr>
    </w:lvl>
  </w:abstractNum>
  <w:abstractNum w:abstractNumId="4">
    <w:nsid w:val="6D605B51"/>
    <w:multiLevelType w:val="hybridMultilevel"/>
    <w:tmpl w:val="D55E391A"/>
    <w:lvl w:ilvl="0" w:tplc="196A451E">
      <w:start w:val="1"/>
      <w:numFmt w:val="decimal"/>
      <w:lvlText w:val="%1."/>
      <w:lvlJc w:val="left"/>
      <w:pPr>
        <w:ind w:left="820" w:hanging="360"/>
      </w:pPr>
      <w:rPr>
        <w:rFonts w:ascii="Schoolbook Uralic" w:eastAsia="Schoolbook Uralic" w:hAnsi="Schoolbook Uralic" w:cs="Schoolbook Uralic" w:hint="default"/>
        <w:w w:val="100"/>
        <w:sz w:val="21"/>
        <w:szCs w:val="21"/>
        <w:lang w:val="en-US" w:eastAsia="en-US" w:bidi="ar-SA"/>
      </w:rPr>
    </w:lvl>
    <w:lvl w:ilvl="1" w:tplc="240684E2">
      <w:numFmt w:val="bullet"/>
      <w:lvlText w:val="•"/>
      <w:lvlJc w:val="left"/>
      <w:pPr>
        <w:ind w:left="1688" w:hanging="360"/>
      </w:pPr>
      <w:rPr>
        <w:rFonts w:hint="default"/>
        <w:lang w:val="en-US" w:eastAsia="en-US" w:bidi="ar-SA"/>
      </w:rPr>
    </w:lvl>
    <w:lvl w:ilvl="2" w:tplc="36B2B1C2">
      <w:numFmt w:val="bullet"/>
      <w:lvlText w:val="•"/>
      <w:lvlJc w:val="left"/>
      <w:pPr>
        <w:ind w:left="2557" w:hanging="360"/>
      </w:pPr>
      <w:rPr>
        <w:rFonts w:hint="default"/>
        <w:lang w:val="en-US" w:eastAsia="en-US" w:bidi="ar-SA"/>
      </w:rPr>
    </w:lvl>
    <w:lvl w:ilvl="3" w:tplc="EAEC10AE">
      <w:numFmt w:val="bullet"/>
      <w:lvlText w:val="•"/>
      <w:lvlJc w:val="left"/>
      <w:pPr>
        <w:ind w:left="3425" w:hanging="360"/>
      </w:pPr>
      <w:rPr>
        <w:rFonts w:hint="default"/>
        <w:lang w:val="en-US" w:eastAsia="en-US" w:bidi="ar-SA"/>
      </w:rPr>
    </w:lvl>
    <w:lvl w:ilvl="4" w:tplc="58B80E84">
      <w:numFmt w:val="bullet"/>
      <w:lvlText w:val="•"/>
      <w:lvlJc w:val="left"/>
      <w:pPr>
        <w:ind w:left="4294" w:hanging="360"/>
      </w:pPr>
      <w:rPr>
        <w:rFonts w:hint="default"/>
        <w:lang w:val="en-US" w:eastAsia="en-US" w:bidi="ar-SA"/>
      </w:rPr>
    </w:lvl>
    <w:lvl w:ilvl="5" w:tplc="229E8A6C">
      <w:numFmt w:val="bullet"/>
      <w:lvlText w:val="•"/>
      <w:lvlJc w:val="left"/>
      <w:pPr>
        <w:ind w:left="5163" w:hanging="360"/>
      </w:pPr>
      <w:rPr>
        <w:rFonts w:hint="default"/>
        <w:lang w:val="en-US" w:eastAsia="en-US" w:bidi="ar-SA"/>
      </w:rPr>
    </w:lvl>
    <w:lvl w:ilvl="6" w:tplc="CAA0D174">
      <w:numFmt w:val="bullet"/>
      <w:lvlText w:val="•"/>
      <w:lvlJc w:val="left"/>
      <w:pPr>
        <w:ind w:left="6031" w:hanging="360"/>
      </w:pPr>
      <w:rPr>
        <w:rFonts w:hint="default"/>
        <w:lang w:val="en-US" w:eastAsia="en-US" w:bidi="ar-SA"/>
      </w:rPr>
    </w:lvl>
    <w:lvl w:ilvl="7" w:tplc="E0BE917E">
      <w:numFmt w:val="bullet"/>
      <w:lvlText w:val="•"/>
      <w:lvlJc w:val="left"/>
      <w:pPr>
        <w:ind w:left="6900" w:hanging="360"/>
      </w:pPr>
      <w:rPr>
        <w:rFonts w:hint="default"/>
        <w:lang w:val="en-US" w:eastAsia="en-US" w:bidi="ar-SA"/>
      </w:rPr>
    </w:lvl>
    <w:lvl w:ilvl="8" w:tplc="F0D49002">
      <w:numFmt w:val="bullet"/>
      <w:lvlText w:val="•"/>
      <w:lvlJc w:val="left"/>
      <w:pPr>
        <w:ind w:left="7769" w:hanging="360"/>
      </w:pPr>
      <w:rPr>
        <w:rFonts w:hint="default"/>
        <w:lang w:val="en-US" w:eastAsia="en-US" w:bidi="ar-SA"/>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DB5546"/>
    <w:rsid w:val="00036C97"/>
    <w:rsid w:val="000563A5"/>
    <w:rsid w:val="000A5A2D"/>
    <w:rsid w:val="000B1732"/>
    <w:rsid w:val="001342CB"/>
    <w:rsid w:val="00205D57"/>
    <w:rsid w:val="00257861"/>
    <w:rsid w:val="003C2460"/>
    <w:rsid w:val="00511B95"/>
    <w:rsid w:val="00526611"/>
    <w:rsid w:val="005324B9"/>
    <w:rsid w:val="005B2E1A"/>
    <w:rsid w:val="005F3A31"/>
    <w:rsid w:val="00785F09"/>
    <w:rsid w:val="008E43B2"/>
    <w:rsid w:val="00965C25"/>
    <w:rsid w:val="009A1398"/>
    <w:rsid w:val="009D26F2"/>
    <w:rsid w:val="00A75763"/>
    <w:rsid w:val="00DB5546"/>
    <w:rsid w:val="00E16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Schoolbook Uralic" w:eastAsia="Schoolbook Uralic" w:hAnsi="Schoolbook Uralic" w:cs="Schoolbook Uralic"/>
    </w:rPr>
  </w:style>
  <w:style w:type="paragraph" w:styleId="Heading1">
    <w:name w:val="heading 1"/>
    <w:basedOn w:val="Normal"/>
    <w:uiPriority w:val="1"/>
    <w:qFormat/>
    <w:pPr>
      <w:ind w:left="2230" w:right="2505"/>
      <w:jc w:val="center"/>
      <w:outlineLvl w:val="0"/>
    </w:pPr>
    <w:rPr>
      <w:sz w:val="40"/>
      <w:szCs w:val="40"/>
    </w:rPr>
  </w:style>
  <w:style w:type="paragraph" w:styleId="Heading2">
    <w:name w:val="heading 2"/>
    <w:basedOn w:val="Normal"/>
    <w:uiPriority w:val="1"/>
    <w:qFormat/>
    <w:pPr>
      <w:spacing w:before="168"/>
      <w:ind w:left="2226" w:right="2505"/>
      <w:jc w:val="center"/>
      <w:outlineLvl w:val="1"/>
    </w:pPr>
    <w:rPr>
      <w:sz w:val="32"/>
      <w:szCs w:val="32"/>
    </w:rPr>
  </w:style>
  <w:style w:type="paragraph" w:styleId="Heading3">
    <w:name w:val="heading 3"/>
    <w:basedOn w:val="Normal"/>
    <w:uiPriority w:val="1"/>
    <w:qFormat/>
    <w:pPr>
      <w:ind w:left="100"/>
      <w:outlineLvl w:val="2"/>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76"/>
      <w:ind w:left="100"/>
    </w:pPr>
    <w:rPr>
      <w:sz w:val="21"/>
      <w:szCs w:val="21"/>
    </w:rPr>
  </w:style>
  <w:style w:type="paragraph" w:styleId="TOC2">
    <w:name w:val="toc 2"/>
    <w:basedOn w:val="Normal"/>
    <w:uiPriority w:val="1"/>
    <w:qFormat/>
    <w:pPr>
      <w:spacing w:before="176"/>
      <w:ind w:left="311"/>
    </w:pPr>
    <w:rPr>
      <w:sz w:val="21"/>
      <w:szCs w:val="21"/>
    </w:rPr>
  </w:style>
  <w:style w:type="paragraph" w:styleId="BodyText">
    <w:name w:val="Body Text"/>
    <w:basedOn w:val="Normal"/>
    <w:uiPriority w:val="1"/>
    <w:qFormat/>
    <w:rPr>
      <w:sz w:val="21"/>
      <w:szCs w:val="21"/>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pPr>
      <w:spacing w:before="12"/>
      <w:ind w:left="107"/>
    </w:pPr>
  </w:style>
  <w:style w:type="paragraph" w:styleId="BalloonText">
    <w:name w:val="Balloon Text"/>
    <w:basedOn w:val="Normal"/>
    <w:link w:val="BalloonTextChar"/>
    <w:uiPriority w:val="99"/>
    <w:semiHidden/>
    <w:unhideWhenUsed/>
    <w:rsid w:val="00257861"/>
    <w:rPr>
      <w:rFonts w:ascii="Tahoma" w:hAnsi="Tahoma" w:cs="Tahoma"/>
      <w:sz w:val="16"/>
      <w:szCs w:val="16"/>
    </w:rPr>
  </w:style>
  <w:style w:type="character" w:customStyle="1" w:styleId="BalloonTextChar">
    <w:name w:val="Balloon Text Char"/>
    <w:basedOn w:val="DefaultParagraphFont"/>
    <w:link w:val="BalloonText"/>
    <w:uiPriority w:val="99"/>
    <w:semiHidden/>
    <w:rsid w:val="00257861"/>
    <w:rPr>
      <w:rFonts w:ascii="Tahoma" w:eastAsia="Schoolbook Uralic" w:hAnsi="Tahoma" w:cs="Tahoma"/>
      <w:sz w:val="16"/>
      <w:szCs w:val="16"/>
    </w:rPr>
  </w:style>
  <w:style w:type="character" w:styleId="Hyperlink">
    <w:name w:val="Hyperlink"/>
    <w:basedOn w:val="DefaultParagraphFont"/>
    <w:uiPriority w:val="99"/>
    <w:unhideWhenUsed/>
    <w:rsid w:val="00511B95"/>
    <w:rPr>
      <w:color w:val="0000FF" w:themeColor="hyperlink"/>
      <w:u w:val="single"/>
    </w:rPr>
  </w:style>
  <w:style w:type="character" w:styleId="CommentReference">
    <w:name w:val="annotation reference"/>
    <w:basedOn w:val="DefaultParagraphFont"/>
    <w:uiPriority w:val="99"/>
    <w:semiHidden/>
    <w:unhideWhenUsed/>
    <w:rsid w:val="00526611"/>
    <w:rPr>
      <w:sz w:val="16"/>
      <w:szCs w:val="16"/>
    </w:rPr>
  </w:style>
  <w:style w:type="paragraph" w:styleId="CommentText">
    <w:name w:val="annotation text"/>
    <w:basedOn w:val="Normal"/>
    <w:link w:val="CommentTextChar"/>
    <w:uiPriority w:val="99"/>
    <w:semiHidden/>
    <w:unhideWhenUsed/>
    <w:rsid w:val="00526611"/>
    <w:rPr>
      <w:sz w:val="20"/>
      <w:szCs w:val="20"/>
    </w:rPr>
  </w:style>
  <w:style w:type="character" w:customStyle="1" w:styleId="CommentTextChar">
    <w:name w:val="Comment Text Char"/>
    <w:basedOn w:val="DefaultParagraphFont"/>
    <w:link w:val="CommentText"/>
    <w:uiPriority w:val="99"/>
    <w:semiHidden/>
    <w:rsid w:val="00526611"/>
    <w:rPr>
      <w:rFonts w:ascii="Schoolbook Uralic" w:eastAsia="Schoolbook Uralic" w:hAnsi="Schoolbook Uralic" w:cs="Schoolbook Uralic"/>
      <w:sz w:val="20"/>
      <w:szCs w:val="20"/>
    </w:rPr>
  </w:style>
  <w:style w:type="paragraph" w:styleId="CommentSubject">
    <w:name w:val="annotation subject"/>
    <w:basedOn w:val="CommentText"/>
    <w:next w:val="CommentText"/>
    <w:link w:val="CommentSubjectChar"/>
    <w:uiPriority w:val="99"/>
    <w:semiHidden/>
    <w:unhideWhenUsed/>
    <w:rsid w:val="00526611"/>
    <w:rPr>
      <w:b/>
      <w:bCs/>
    </w:rPr>
  </w:style>
  <w:style w:type="character" w:customStyle="1" w:styleId="CommentSubjectChar">
    <w:name w:val="Comment Subject Char"/>
    <w:basedOn w:val="CommentTextChar"/>
    <w:link w:val="CommentSubject"/>
    <w:uiPriority w:val="99"/>
    <w:semiHidden/>
    <w:rsid w:val="00526611"/>
    <w:rPr>
      <w:rFonts w:ascii="Schoolbook Uralic" w:eastAsia="Schoolbook Uralic" w:hAnsi="Schoolbook Uralic" w:cs="Schoolbook Uralic"/>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stakeholdermap.com/project-dictionary/project-manager-meaning-definition.html" TargetMode="External"/><Relationship Id="rId18" Type="http://schemas.openxmlformats.org/officeDocument/2006/relationships/hyperlink" Target="https://www.stakeholdermap.com/project-dictionary/project-schedule-meaning.html" TargetMode="External"/><Relationship Id="rId26" Type="http://schemas.openxmlformats.org/officeDocument/2006/relationships/hyperlink" Target="https://www.stakeholdermap.com/risk/risk-definition.html" TargetMode="Externa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stakeholdermap.com/project-dictionary/project-manager-meaning-definition.html" TargetMode="External"/><Relationship Id="rId17" Type="http://schemas.openxmlformats.org/officeDocument/2006/relationships/hyperlink" Target="https://www.stakeholdermap.com/project-management/project-milestones.html" TargetMode="External"/><Relationship Id="rId25" Type="http://schemas.openxmlformats.org/officeDocument/2006/relationships/hyperlink" Target="https://www.stakeholdermap.com/risk/risk-definition.html" TargetMode="External"/><Relationship Id="rId2" Type="http://schemas.openxmlformats.org/officeDocument/2006/relationships/styles" Target="styles.xml"/><Relationship Id="rId16" Type="http://schemas.openxmlformats.org/officeDocument/2006/relationships/hyperlink" Target="https://www.stakeholdermap.com/project-dictionary/project-manager-meaning-definition.html" TargetMode="External"/><Relationship Id="rId20" Type="http://schemas.openxmlformats.org/officeDocument/2006/relationships/header" Target="header1.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stakeholdermap.com/project-management/project-milestones.html" TargetMode="External"/><Relationship Id="rId24" Type="http://schemas.openxmlformats.org/officeDocument/2006/relationships/hyperlink" Target="https://www.stakeholdermap.com/risk/risk-definition.html" TargetMode="External"/><Relationship Id="rId5" Type="http://schemas.openxmlformats.org/officeDocument/2006/relationships/webSettings" Target="webSettings.xml"/><Relationship Id="rId15" Type="http://schemas.openxmlformats.org/officeDocument/2006/relationships/hyperlink" Target="https://www.stakeholdermap.com/definitions/project-team.html" TargetMode="External"/><Relationship Id="rId23" Type="http://schemas.openxmlformats.org/officeDocument/2006/relationships/hyperlink" Target="https://www.stakeholdermap.com/risk/risk-assessment.html" TargetMode="External"/><Relationship Id="rId28" Type="http://schemas.openxmlformats.org/officeDocument/2006/relationships/hyperlink" Target="https://www.stakeholdermap.com/project-dictionary/project-manager-meaning-definition.html" TargetMode="External"/><Relationship Id="rId10" Type="http://schemas.openxmlformats.org/officeDocument/2006/relationships/hyperlink" Target="https://www.stakeholdermap.com/project-dictionary/project-manager-meaning-definition.html" TargetMode="External"/><Relationship Id="rId19" Type="http://schemas.openxmlformats.org/officeDocument/2006/relationships/hyperlink" Target="https://www.stakeholdermap.com/project-templates/test-case-template-excel.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stakeholdermap.com/risk/risk-definition.html" TargetMode="External"/><Relationship Id="rId22" Type="http://schemas.openxmlformats.org/officeDocument/2006/relationships/hyperlink" Target="https://www.stakeholdermap.com/risk/risk-definition.html" TargetMode="External"/><Relationship Id="rId27" Type="http://schemas.openxmlformats.org/officeDocument/2006/relationships/hyperlink" Target="https://www.stakeholdermap.com/project-dictionary/project-manager-meaning-definition.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7446</TotalTime>
  <Pages>1</Pages>
  <Words>1461</Words>
  <Characters>8330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Sample Statement of Work</vt:lpstr>
    </vt:vector>
  </TitlesOfParts>
  <Company/>
  <LinksUpToDate>false</LinksUpToDate>
  <CharactersWithSpaces>9772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Statement of Work</dc:title>
  <dc:subject>Statements of Work</dc:subject>
  <dc:creator>stakeholdermap.com</dc:creator>
  <cp:keywords>sow, statement of work, contract, project sow, example, sample</cp:keywords>
  <cp:lastModifiedBy>Anjali Khandelwal</cp:lastModifiedBy>
  <cp:revision>15</cp:revision>
  <cp:lastPrinted>2021-12-30T07:10:00Z</cp:lastPrinted>
  <dcterms:created xsi:type="dcterms:W3CDTF">2021-12-20T08:16:00Z</dcterms:created>
  <dcterms:modified xsi:type="dcterms:W3CDTF">2021-12-30T07:11:00Z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2021-01-24T00:00:00Z</vt:filetime>
  </property>
  <property fmtid="{D5CDD505-2E9C-101B-9397-08002B2CF9AE}" pid="3" name="Creator">
    <vt:lpwstr>Microsoft® Word for Microsoft 365</vt:lpwstr>
  </property>
  <property fmtid="{D5CDD505-2E9C-101B-9397-08002B2CF9AE}" pid="4" name="LastSaved">
    <vt:filetime>2021-12-20T00:00:00Z</vt:filetime>
  </property>
</Properties>
</file>