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00EC8" w14:textId="77777777" w:rsidR="00F3059F" w:rsidRPr="00F3059F" w:rsidRDefault="00F3059F" w:rsidP="00F3059F">
      <w:pPr>
        <w:rPr>
          <w:b/>
          <w:bCs/>
        </w:rPr>
      </w:pPr>
      <w:r w:rsidRPr="00F3059F">
        <w:rPr>
          <w:b/>
          <w:bCs/>
        </w:rPr>
        <w:t>POLICY ON BOARD DIVERSITY</w:t>
      </w:r>
    </w:p>
    <w:p w14:paraId="7603E86B" w14:textId="77777777" w:rsidR="00F3059F" w:rsidRPr="00F3059F" w:rsidRDefault="00F3059F" w:rsidP="00F3059F">
      <w:r w:rsidRPr="00F3059F">
        <w:rPr>
          <w:b/>
          <w:bCs/>
        </w:rPr>
        <w:t>Confidential</w:t>
      </w:r>
      <w:r w:rsidRPr="00F3059F">
        <w:br/>
      </w:r>
      <w:r w:rsidRPr="00F3059F">
        <w:rPr>
          <w:b/>
          <w:bCs/>
        </w:rPr>
        <w:t>Version 4.0</w:t>
      </w:r>
    </w:p>
    <w:p w14:paraId="0EF841F1" w14:textId="77777777" w:rsidR="00F3059F" w:rsidRPr="00F3059F" w:rsidRDefault="00F3059F" w:rsidP="00F3059F">
      <w:r w:rsidRPr="00F3059F">
        <w:pict w14:anchorId="5D029A32">
          <v:rect id="_x0000_i1049" style="width:0;height:1.5pt" o:hralign="center" o:hrstd="t" o:hr="t" fillcolor="#a0a0a0" stroked="f"/>
        </w:pict>
      </w:r>
    </w:p>
    <w:p w14:paraId="650671C5" w14:textId="77777777" w:rsidR="00F3059F" w:rsidRPr="00F3059F" w:rsidRDefault="00F3059F" w:rsidP="00F3059F">
      <w:pPr>
        <w:rPr>
          <w:b/>
          <w:bCs/>
        </w:rPr>
      </w:pPr>
      <w:r w:rsidRPr="00F3059F">
        <w:rPr>
          <w:b/>
          <w:bCs/>
        </w:rPr>
        <w:t>Version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8"/>
        <w:gridCol w:w="2447"/>
        <w:gridCol w:w="1325"/>
        <w:gridCol w:w="2348"/>
      </w:tblGrid>
      <w:tr w:rsidR="00F3059F" w:rsidRPr="00F3059F" w14:paraId="50D806E2" w14:textId="77777777" w:rsidTr="00F3059F">
        <w:trPr>
          <w:tblHeader/>
          <w:tblCellSpacing w:w="15" w:type="dxa"/>
        </w:trPr>
        <w:tc>
          <w:tcPr>
            <w:tcW w:w="0" w:type="auto"/>
            <w:vAlign w:val="center"/>
            <w:hideMark/>
          </w:tcPr>
          <w:p w14:paraId="43478DC0" w14:textId="77777777" w:rsidR="00F3059F" w:rsidRPr="00F3059F" w:rsidRDefault="00F3059F" w:rsidP="00F3059F">
            <w:pPr>
              <w:rPr>
                <w:b/>
                <w:bCs/>
              </w:rPr>
            </w:pPr>
            <w:r w:rsidRPr="00F3059F">
              <w:rPr>
                <w:b/>
                <w:bCs/>
              </w:rPr>
              <w:t>Version</w:t>
            </w:r>
          </w:p>
        </w:tc>
        <w:tc>
          <w:tcPr>
            <w:tcW w:w="0" w:type="auto"/>
            <w:vAlign w:val="center"/>
            <w:hideMark/>
          </w:tcPr>
          <w:p w14:paraId="2B15C9E8" w14:textId="77777777" w:rsidR="00F3059F" w:rsidRPr="00F3059F" w:rsidRDefault="00F3059F" w:rsidP="00F3059F">
            <w:pPr>
              <w:rPr>
                <w:b/>
                <w:bCs/>
              </w:rPr>
            </w:pPr>
            <w:r w:rsidRPr="00F3059F">
              <w:rPr>
                <w:b/>
                <w:bCs/>
              </w:rPr>
              <w:t>Reference</w:t>
            </w:r>
          </w:p>
        </w:tc>
        <w:tc>
          <w:tcPr>
            <w:tcW w:w="0" w:type="auto"/>
            <w:vAlign w:val="center"/>
            <w:hideMark/>
          </w:tcPr>
          <w:p w14:paraId="7DEF83DF" w14:textId="77777777" w:rsidR="00F3059F" w:rsidRPr="00F3059F" w:rsidRDefault="00F3059F" w:rsidP="00F3059F">
            <w:pPr>
              <w:rPr>
                <w:b/>
                <w:bCs/>
              </w:rPr>
            </w:pPr>
            <w:r w:rsidRPr="00F3059F">
              <w:rPr>
                <w:b/>
                <w:bCs/>
              </w:rPr>
              <w:t>Date</w:t>
            </w:r>
          </w:p>
        </w:tc>
        <w:tc>
          <w:tcPr>
            <w:tcW w:w="0" w:type="auto"/>
            <w:vAlign w:val="center"/>
            <w:hideMark/>
          </w:tcPr>
          <w:p w14:paraId="68A303DC" w14:textId="77777777" w:rsidR="00F3059F" w:rsidRPr="00F3059F" w:rsidRDefault="00F3059F" w:rsidP="00F3059F">
            <w:pPr>
              <w:rPr>
                <w:b/>
                <w:bCs/>
              </w:rPr>
            </w:pPr>
            <w:r w:rsidRPr="00F3059F">
              <w:rPr>
                <w:b/>
                <w:bCs/>
              </w:rPr>
              <w:t>Department</w:t>
            </w:r>
          </w:p>
        </w:tc>
      </w:tr>
      <w:tr w:rsidR="00F3059F" w:rsidRPr="00F3059F" w14:paraId="2C4CB5EC" w14:textId="77777777" w:rsidTr="00F3059F">
        <w:trPr>
          <w:tblCellSpacing w:w="15" w:type="dxa"/>
        </w:trPr>
        <w:tc>
          <w:tcPr>
            <w:tcW w:w="0" w:type="auto"/>
            <w:vAlign w:val="center"/>
            <w:hideMark/>
          </w:tcPr>
          <w:p w14:paraId="0A8CDE87" w14:textId="77777777" w:rsidR="00F3059F" w:rsidRPr="00F3059F" w:rsidRDefault="00F3059F" w:rsidP="00F3059F">
            <w:r w:rsidRPr="00F3059F">
              <w:t>Version 1.0</w:t>
            </w:r>
          </w:p>
        </w:tc>
        <w:tc>
          <w:tcPr>
            <w:tcW w:w="0" w:type="auto"/>
            <w:vAlign w:val="center"/>
            <w:hideMark/>
          </w:tcPr>
          <w:p w14:paraId="59418D06" w14:textId="77777777" w:rsidR="00F3059F" w:rsidRPr="00F3059F" w:rsidRDefault="00F3059F" w:rsidP="00F3059F">
            <w:r w:rsidRPr="00F3059F">
              <w:t>POL/SEC/S-103/2021-22</w:t>
            </w:r>
          </w:p>
        </w:tc>
        <w:tc>
          <w:tcPr>
            <w:tcW w:w="0" w:type="auto"/>
            <w:vAlign w:val="center"/>
            <w:hideMark/>
          </w:tcPr>
          <w:p w14:paraId="42CC10EC" w14:textId="77777777" w:rsidR="00F3059F" w:rsidRPr="00F3059F" w:rsidRDefault="00F3059F" w:rsidP="00F3059F">
            <w:r w:rsidRPr="00F3059F">
              <w:t>July 22, 2021</w:t>
            </w:r>
          </w:p>
        </w:tc>
        <w:tc>
          <w:tcPr>
            <w:tcW w:w="0" w:type="auto"/>
            <w:vAlign w:val="center"/>
            <w:hideMark/>
          </w:tcPr>
          <w:p w14:paraId="29B1FD3C" w14:textId="77777777" w:rsidR="00F3059F" w:rsidRPr="00F3059F" w:rsidRDefault="00F3059F" w:rsidP="00F3059F">
            <w:r w:rsidRPr="00F3059F">
              <w:t>Secretarial Department</w:t>
            </w:r>
          </w:p>
        </w:tc>
      </w:tr>
      <w:tr w:rsidR="00F3059F" w:rsidRPr="00F3059F" w14:paraId="1E8CA04A" w14:textId="77777777" w:rsidTr="00F3059F">
        <w:trPr>
          <w:tblCellSpacing w:w="15" w:type="dxa"/>
        </w:trPr>
        <w:tc>
          <w:tcPr>
            <w:tcW w:w="0" w:type="auto"/>
            <w:vAlign w:val="center"/>
            <w:hideMark/>
          </w:tcPr>
          <w:p w14:paraId="15EBF162" w14:textId="77777777" w:rsidR="00F3059F" w:rsidRPr="00F3059F" w:rsidRDefault="00F3059F" w:rsidP="00F3059F">
            <w:r w:rsidRPr="00F3059F">
              <w:t>Version 2.0</w:t>
            </w:r>
          </w:p>
        </w:tc>
        <w:tc>
          <w:tcPr>
            <w:tcW w:w="0" w:type="auto"/>
            <w:vAlign w:val="center"/>
            <w:hideMark/>
          </w:tcPr>
          <w:p w14:paraId="1797FD7E" w14:textId="77777777" w:rsidR="00F3059F" w:rsidRPr="00F3059F" w:rsidRDefault="00F3059F" w:rsidP="00F3059F">
            <w:r w:rsidRPr="00F3059F">
              <w:t>POL/SEC/S-119/2022-23</w:t>
            </w:r>
          </w:p>
        </w:tc>
        <w:tc>
          <w:tcPr>
            <w:tcW w:w="0" w:type="auto"/>
            <w:vAlign w:val="center"/>
            <w:hideMark/>
          </w:tcPr>
          <w:p w14:paraId="3CE489CA" w14:textId="77777777" w:rsidR="00F3059F" w:rsidRPr="00F3059F" w:rsidRDefault="00F3059F" w:rsidP="00F3059F">
            <w:r w:rsidRPr="00F3059F">
              <w:t>July 12, 2022</w:t>
            </w:r>
          </w:p>
        </w:tc>
        <w:tc>
          <w:tcPr>
            <w:tcW w:w="0" w:type="auto"/>
            <w:vAlign w:val="center"/>
            <w:hideMark/>
          </w:tcPr>
          <w:p w14:paraId="2686DB02" w14:textId="77777777" w:rsidR="00F3059F" w:rsidRPr="00F3059F" w:rsidRDefault="00F3059F" w:rsidP="00F3059F">
            <w:r w:rsidRPr="00F3059F">
              <w:t>Secretarial Department</w:t>
            </w:r>
          </w:p>
        </w:tc>
      </w:tr>
      <w:tr w:rsidR="00F3059F" w:rsidRPr="00F3059F" w14:paraId="63124ED0" w14:textId="77777777" w:rsidTr="00F3059F">
        <w:trPr>
          <w:tblCellSpacing w:w="15" w:type="dxa"/>
        </w:trPr>
        <w:tc>
          <w:tcPr>
            <w:tcW w:w="0" w:type="auto"/>
            <w:vAlign w:val="center"/>
            <w:hideMark/>
          </w:tcPr>
          <w:p w14:paraId="13EDF214" w14:textId="77777777" w:rsidR="00F3059F" w:rsidRPr="00F3059F" w:rsidRDefault="00F3059F" w:rsidP="00F3059F">
            <w:r w:rsidRPr="00F3059F">
              <w:t>Version 3.0</w:t>
            </w:r>
          </w:p>
        </w:tc>
        <w:tc>
          <w:tcPr>
            <w:tcW w:w="0" w:type="auto"/>
            <w:vAlign w:val="center"/>
            <w:hideMark/>
          </w:tcPr>
          <w:p w14:paraId="2A6CAFC6" w14:textId="77777777" w:rsidR="00F3059F" w:rsidRPr="00F3059F" w:rsidRDefault="00F3059F" w:rsidP="00F3059F">
            <w:r w:rsidRPr="00F3059F">
              <w:t>POL/SEC/S-100/2023-24</w:t>
            </w:r>
          </w:p>
        </w:tc>
        <w:tc>
          <w:tcPr>
            <w:tcW w:w="0" w:type="auto"/>
            <w:vAlign w:val="center"/>
            <w:hideMark/>
          </w:tcPr>
          <w:p w14:paraId="26A015D9" w14:textId="77777777" w:rsidR="00F3059F" w:rsidRPr="00F3059F" w:rsidRDefault="00F3059F" w:rsidP="00F3059F">
            <w:r w:rsidRPr="00F3059F">
              <w:t>July 31, 2023</w:t>
            </w:r>
          </w:p>
        </w:tc>
        <w:tc>
          <w:tcPr>
            <w:tcW w:w="0" w:type="auto"/>
            <w:vAlign w:val="center"/>
            <w:hideMark/>
          </w:tcPr>
          <w:p w14:paraId="6672F448" w14:textId="77777777" w:rsidR="00F3059F" w:rsidRPr="00F3059F" w:rsidRDefault="00F3059F" w:rsidP="00F3059F">
            <w:r w:rsidRPr="00F3059F">
              <w:t>Secretarial Department</w:t>
            </w:r>
          </w:p>
        </w:tc>
      </w:tr>
      <w:tr w:rsidR="00F3059F" w:rsidRPr="00F3059F" w14:paraId="6CD3A890" w14:textId="77777777" w:rsidTr="00F3059F">
        <w:trPr>
          <w:tblCellSpacing w:w="15" w:type="dxa"/>
        </w:trPr>
        <w:tc>
          <w:tcPr>
            <w:tcW w:w="0" w:type="auto"/>
            <w:vAlign w:val="center"/>
            <w:hideMark/>
          </w:tcPr>
          <w:p w14:paraId="5066678A" w14:textId="77777777" w:rsidR="00F3059F" w:rsidRPr="00F3059F" w:rsidRDefault="00F3059F" w:rsidP="00F3059F">
            <w:r w:rsidRPr="00F3059F">
              <w:t>Version 4.0</w:t>
            </w:r>
          </w:p>
        </w:tc>
        <w:tc>
          <w:tcPr>
            <w:tcW w:w="0" w:type="auto"/>
            <w:vAlign w:val="center"/>
            <w:hideMark/>
          </w:tcPr>
          <w:p w14:paraId="039EFB25" w14:textId="77777777" w:rsidR="00F3059F" w:rsidRPr="00F3059F" w:rsidRDefault="00F3059F" w:rsidP="00F3059F">
            <w:r w:rsidRPr="00F3059F">
              <w:t>POL/SEC/R-106/2024-25</w:t>
            </w:r>
          </w:p>
        </w:tc>
        <w:tc>
          <w:tcPr>
            <w:tcW w:w="0" w:type="auto"/>
            <w:vAlign w:val="center"/>
            <w:hideMark/>
          </w:tcPr>
          <w:p w14:paraId="05155E09" w14:textId="77777777" w:rsidR="00F3059F" w:rsidRPr="00F3059F" w:rsidRDefault="00F3059F" w:rsidP="00F3059F">
            <w:r w:rsidRPr="00F3059F">
              <w:t>July 30, 2024</w:t>
            </w:r>
          </w:p>
        </w:tc>
        <w:tc>
          <w:tcPr>
            <w:tcW w:w="0" w:type="auto"/>
            <w:vAlign w:val="center"/>
            <w:hideMark/>
          </w:tcPr>
          <w:p w14:paraId="1FC53D76" w14:textId="77777777" w:rsidR="00F3059F" w:rsidRPr="00F3059F" w:rsidRDefault="00F3059F" w:rsidP="00F3059F">
            <w:r w:rsidRPr="00F3059F">
              <w:t>Secretarial Department</w:t>
            </w:r>
          </w:p>
        </w:tc>
      </w:tr>
    </w:tbl>
    <w:p w14:paraId="0EF68E35" w14:textId="77777777" w:rsidR="00F3059F" w:rsidRPr="00F3059F" w:rsidRDefault="00F3059F" w:rsidP="00F3059F">
      <w:r w:rsidRPr="00F3059F">
        <w:pict w14:anchorId="47E25937">
          <v:rect id="_x0000_i1050" style="width:0;height:1.5pt" o:hralign="center" o:hrstd="t" o:hr="t" fillcolor="#a0a0a0" stroked="f"/>
        </w:pict>
      </w:r>
    </w:p>
    <w:p w14:paraId="23BA3E54" w14:textId="77777777" w:rsidR="00F3059F" w:rsidRPr="00F3059F" w:rsidRDefault="00F3059F" w:rsidP="00F3059F">
      <w:pPr>
        <w:rPr>
          <w:b/>
          <w:bCs/>
        </w:rPr>
      </w:pPr>
      <w:r w:rsidRPr="00F3059F">
        <w:rPr>
          <w:b/>
          <w:bC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
        <w:gridCol w:w="2586"/>
        <w:gridCol w:w="955"/>
      </w:tblGrid>
      <w:tr w:rsidR="00F3059F" w:rsidRPr="00F3059F" w14:paraId="3407E014" w14:textId="77777777" w:rsidTr="00F3059F">
        <w:trPr>
          <w:tblHeader/>
          <w:tblCellSpacing w:w="15" w:type="dxa"/>
        </w:trPr>
        <w:tc>
          <w:tcPr>
            <w:tcW w:w="0" w:type="auto"/>
            <w:vAlign w:val="center"/>
            <w:hideMark/>
          </w:tcPr>
          <w:p w14:paraId="3AF5E366" w14:textId="77777777" w:rsidR="00F3059F" w:rsidRPr="00F3059F" w:rsidRDefault="00F3059F" w:rsidP="00F3059F">
            <w:pPr>
              <w:rPr>
                <w:b/>
                <w:bCs/>
              </w:rPr>
            </w:pPr>
            <w:r w:rsidRPr="00F3059F">
              <w:rPr>
                <w:b/>
                <w:bCs/>
              </w:rPr>
              <w:t>Sl. No</w:t>
            </w:r>
          </w:p>
        </w:tc>
        <w:tc>
          <w:tcPr>
            <w:tcW w:w="0" w:type="auto"/>
            <w:vAlign w:val="center"/>
            <w:hideMark/>
          </w:tcPr>
          <w:p w14:paraId="06219374" w14:textId="77777777" w:rsidR="00F3059F" w:rsidRPr="00F3059F" w:rsidRDefault="00F3059F" w:rsidP="00F3059F">
            <w:pPr>
              <w:rPr>
                <w:b/>
                <w:bCs/>
              </w:rPr>
            </w:pPr>
            <w:r w:rsidRPr="00F3059F">
              <w:rPr>
                <w:b/>
                <w:bCs/>
              </w:rPr>
              <w:t>Title</w:t>
            </w:r>
          </w:p>
        </w:tc>
        <w:tc>
          <w:tcPr>
            <w:tcW w:w="0" w:type="auto"/>
            <w:vAlign w:val="center"/>
            <w:hideMark/>
          </w:tcPr>
          <w:p w14:paraId="512282FC" w14:textId="77777777" w:rsidR="00F3059F" w:rsidRPr="00F3059F" w:rsidRDefault="00F3059F" w:rsidP="00F3059F">
            <w:pPr>
              <w:rPr>
                <w:b/>
                <w:bCs/>
              </w:rPr>
            </w:pPr>
            <w:r w:rsidRPr="00F3059F">
              <w:rPr>
                <w:b/>
                <w:bCs/>
              </w:rPr>
              <w:t>Page No.</w:t>
            </w:r>
          </w:p>
        </w:tc>
      </w:tr>
      <w:tr w:rsidR="00F3059F" w:rsidRPr="00F3059F" w14:paraId="29259254" w14:textId="77777777" w:rsidTr="00F3059F">
        <w:trPr>
          <w:tblCellSpacing w:w="15" w:type="dxa"/>
        </w:trPr>
        <w:tc>
          <w:tcPr>
            <w:tcW w:w="0" w:type="auto"/>
            <w:vAlign w:val="center"/>
            <w:hideMark/>
          </w:tcPr>
          <w:p w14:paraId="2D2C33A3" w14:textId="77777777" w:rsidR="00F3059F" w:rsidRPr="00F3059F" w:rsidRDefault="00F3059F" w:rsidP="00F3059F">
            <w:r w:rsidRPr="00F3059F">
              <w:t>1</w:t>
            </w:r>
          </w:p>
        </w:tc>
        <w:tc>
          <w:tcPr>
            <w:tcW w:w="0" w:type="auto"/>
            <w:vAlign w:val="center"/>
            <w:hideMark/>
          </w:tcPr>
          <w:p w14:paraId="13C5BBED" w14:textId="77777777" w:rsidR="00F3059F" w:rsidRPr="00F3059F" w:rsidRDefault="00F3059F" w:rsidP="00F3059F">
            <w:r w:rsidRPr="00F3059F">
              <w:t>Purpose of this Policy</w:t>
            </w:r>
          </w:p>
        </w:tc>
        <w:tc>
          <w:tcPr>
            <w:tcW w:w="0" w:type="auto"/>
            <w:vAlign w:val="center"/>
            <w:hideMark/>
          </w:tcPr>
          <w:p w14:paraId="23C7200F" w14:textId="77777777" w:rsidR="00F3059F" w:rsidRPr="00F3059F" w:rsidRDefault="00F3059F" w:rsidP="00F3059F">
            <w:r w:rsidRPr="00F3059F">
              <w:t>3</w:t>
            </w:r>
          </w:p>
        </w:tc>
      </w:tr>
      <w:tr w:rsidR="00F3059F" w:rsidRPr="00F3059F" w14:paraId="2D37E23C" w14:textId="77777777" w:rsidTr="00F3059F">
        <w:trPr>
          <w:tblCellSpacing w:w="15" w:type="dxa"/>
        </w:trPr>
        <w:tc>
          <w:tcPr>
            <w:tcW w:w="0" w:type="auto"/>
            <w:vAlign w:val="center"/>
            <w:hideMark/>
          </w:tcPr>
          <w:p w14:paraId="216B60CE" w14:textId="77777777" w:rsidR="00F3059F" w:rsidRPr="00F3059F" w:rsidRDefault="00F3059F" w:rsidP="00F3059F">
            <w:r w:rsidRPr="00F3059F">
              <w:t>2</w:t>
            </w:r>
          </w:p>
        </w:tc>
        <w:tc>
          <w:tcPr>
            <w:tcW w:w="0" w:type="auto"/>
            <w:vAlign w:val="center"/>
            <w:hideMark/>
          </w:tcPr>
          <w:p w14:paraId="2F6D92D5" w14:textId="77777777" w:rsidR="00F3059F" w:rsidRPr="00F3059F" w:rsidRDefault="00F3059F" w:rsidP="00F3059F">
            <w:r w:rsidRPr="00F3059F">
              <w:t>Policy Statement</w:t>
            </w:r>
          </w:p>
        </w:tc>
        <w:tc>
          <w:tcPr>
            <w:tcW w:w="0" w:type="auto"/>
            <w:vAlign w:val="center"/>
            <w:hideMark/>
          </w:tcPr>
          <w:p w14:paraId="19A6C09C" w14:textId="77777777" w:rsidR="00F3059F" w:rsidRPr="00F3059F" w:rsidRDefault="00F3059F" w:rsidP="00F3059F">
            <w:r w:rsidRPr="00F3059F">
              <w:t>3</w:t>
            </w:r>
          </w:p>
        </w:tc>
      </w:tr>
      <w:tr w:rsidR="00F3059F" w:rsidRPr="00F3059F" w14:paraId="0721F519" w14:textId="77777777" w:rsidTr="00F3059F">
        <w:trPr>
          <w:tblCellSpacing w:w="15" w:type="dxa"/>
        </w:trPr>
        <w:tc>
          <w:tcPr>
            <w:tcW w:w="0" w:type="auto"/>
            <w:vAlign w:val="center"/>
            <w:hideMark/>
          </w:tcPr>
          <w:p w14:paraId="53EEEF2A" w14:textId="77777777" w:rsidR="00F3059F" w:rsidRPr="00F3059F" w:rsidRDefault="00F3059F" w:rsidP="00F3059F">
            <w:r w:rsidRPr="00F3059F">
              <w:t>3</w:t>
            </w:r>
          </w:p>
        </w:tc>
        <w:tc>
          <w:tcPr>
            <w:tcW w:w="0" w:type="auto"/>
            <w:vAlign w:val="center"/>
            <w:hideMark/>
          </w:tcPr>
          <w:p w14:paraId="1059F028" w14:textId="77777777" w:rsidR="00F3059F" w:rsidRPr="00F3059F" w:rsidRDefault="00F3059F" w:rsidP="00F3059F">
            <w:r w:rsidRPr="00F3059F">
              <w:t>Monitoring and Reporting</w:t>
            </w:r>
          </w:p>
        </w:tc>
        <w:tc>
          <w:tcPr>
            <w:tcW w:w="0" w:type="auto"/>
            <w:vAlign w:val="center"/>
            <w:hideMark/>
          </w:tcPr>
          <w:p w14:paraId="655EF676" w14:textId="77777777" w:rsidR="00F3059F" w:rsidRPr="00F3059F" w:rsidRDefault="00F3059F" w:rsidP="00F3059F">
            <w:r w:rsidRPr="00F3059F">
              <w:t>4</w:t>
            </w:r>
          </w:p>
        </w:tc>
      </w:tr>
      <w:tr w:rsidR="00F3059F" w:rsidRPr="00F3059F" w14:paraId="38960251" w14:textId="77777777" w:rsidTr="00F3059F">
        <w:trPr>
          <w:tblCellSpacing w:w="15" w:type="dxa"/>
        </w:trPr>
        <w:tc>
          <w:tcPr>
            <w:tcW w:w="0" w:type="auto"/>
            <w:vAlign w:val="center"/>
            <w:hideMark/>
          </w:tcPr>
          <w:p w14:paraId="3CC46698" w14:textId="77777777" w:rsidR="00F3059F" w:rsidRPr="00F3059F" w:rsidRDefault="00F3059F" w:rsidP="00F3059F">
            <w:r w:rsidRPr="00F3059F">
              <w:t>4</w:t>
            </w:r>
          </w:p>
        </w:tc>
        <w:tc>
          <w:tcPr>
            <w:tcW w:w="0" w:type="auto"/>
            <w:vAlign w:val="center"/>
            <w:hideMark/>
          </w:tcPr>
          <w:p w14:paraId="55A0BCFE" w14:textId="77777777" w:rsidR="00F3059F" w:rsidRPr="00F3059F" w:rsidRDefault="00F3059F" w:rsidP="00F3059F">
            <w:r w:rsidRPr="00F3059F">
              <w:t>Review</w:t>
            </w:r>
          </w:p>
        </w:tc>
        <w:tc>
          <w:tcPr>
            <w:tcW w:w="0" w:type="auto"/>
            <w:vAlign w:val="center"/>
            <w:hideMark/>
          </w:tcPr>
          <w:p w14:paraId="127F4C12" w14:textId="77777777" w:rsidR="00F3059F" w:rsidRPr="00F3059F" w:rsidRDefault="00F3059F" w:rsidP="00F3059F">
            <w:r w:rsidRPr="00F3059F">
              <w:t>4</w:t>
            </w:r>
          </w:p>
        </w:tc>
      </w:tr>
    </w:tbl>
    <w:p w14:paraId="6DE3A49B" w14:textId="77777777" w:rsidR="00F3059F" w:rsidRPr="00F3059F" w:rsidRDefault="00F3059F" w:rsidP="00F3059F">
      <w:r w:rsidRPr="00F3059F">
        <w:pict w14:anchorId="51855FC8">
          <v:rect id="_x0000_i1051" style="width:0;height:1.5pt" o:hralign="center" o:hrstd="t" o:hr="t" fillcolor="#a0a0a0" stroked="f"/>
        </w:pict>
      </w:r>
    </w:p>
    <w:p w14:paraId="512EBD94" w14:textId="77777777" w:rsidR="00F3059F" w:rsidRPr="00F3059F" w:rsidRDefault="00F3059F" w:rsidP="00F3059F">
      <w:pPr>
        <w:rPr>
          <w:b/>
          <w:bCs/>
        </w:rPr>
      </w:pPr>
      <w:r w:rsidRPr="00F3059F">
        <w:rPr>
          <w:b/>
          <w:bCs/>
        </w:rPr>
        <w:t>1. Purpose of this Policy</w:t>
      </w:r>
    </w:p>
    <w:p w14:paraId="092BA691" w14:textId="77777777" w:rsidR="00F3059F" w:rsidRPr="00F3059F" w:rsidRDefault="00F3059F" w:rsidP="00F3059F">
      <w:r w:rsidRPr="00F3059F">
        <w:t>1.1 This Board Diversity Policy (the "Policy") sets out the approach to ensure adequate diversity in the board of directors (the "Board"). The policy is framed by the Bank pursuant to Schedule II of SEBI (Listing Obligations and Disclosure Requirements) Regulations 2015 to ensure compliance with the applicable provisions of the Listing Regulations. The Policy on Board Diversity of the Bank mainly depends on the qualifications for appointment of Directors of the Bank as contained in the Banking Regulation Act, 1949 and satisfying the Fit and Proper Criteria for directors as per the regulatory requirement of RBI.</w:t>
      </w:r>
    </w:p>
    <w:p w14:paraId="6AA1CD4F" w14:textId="77777777" w:rsidR="00F3059F" w:rsidRPr="00F3059F" w:rsidRDefault="00F3059F" w:rsidP="00F3059F">
      <w:pPr>
        <w:rPr>
          <w:b/>
          <w:bCs/>
        </w:rPr>
      </w:pPr>
      <w:r w:rsidRPr="00F3059F">
        <w:rPr>
          <w:b/>
          <w:bCs/>
        </w:rPr>
        <w:t>2. Policy Statement</w:t>
      </w:r>
    </w:p>
    <w:p w14:paraId="5C4E3839" w14:textId="77777777" w:rsidR="00F3059F" w:rsidRPr="00F3059F" w:rsidRDefault="00F3059F" w:rsidP="00F3059F">
      <w:r w:rsidRPr="00F3059F">
        <w:t xml:space="preserve">2.1 With a view to achieve a sustainable and balanced development, the Bank sees increasing diversity at the Board level as an essential element in supporting the attainment </w:t>
      </w:r>
      <w:r w:rsidRPr="00F3059F">
        <w:lastRenderedPageBreak/>
        <w:t>of its strategic objectives. A diverse Board includes and makes good use of differences in the skills, regional and industry experience, background, race, gender and other qualities of directors.</w:t>
      </w:r>
    </w:p>
    <w:p w14:paraId="3FCFCB75" w14:textId="77777777" w:rsidR="00F3059F" w:rsidRPr="00F3059F" w:rsidRDefault="00F3059F" w:rsidP="00F3059F">
      <w:r w:rsidRPr="00F3059F">
        <w:t>The Bank continuously seeks to enhance the effectiveness of its Board and to maintain the highest standards of corporate governance and recognizes and embraces the benefits of diversity in the boardroom. Diversity is ensured through consideration of a number of factors, including but not limited to skills, regional and industry experience, background and other qualities. In informing its perspective on diversity, the Bank also takes into account factors based on its own business model and specific needs from time to time.</w:t>
      </w:r>
    </w:p>
    <w:p w14:paraId="21BD1ECC" w14:textId="77777777" w:rsidR="00F3059F" w:rsidRPr="00F3059F" w:rsidRDefault="00F3059F" w:rsidP="00F3059F">
      <w:r w:rsidRPr="00F3059F">
        <w:t>The Bank believes that a diversified Board will enhance the quality of the decisions made at the Board level by utilizing the different skills, qualification, professional experience, gender, knowledge, etc., of the members of the Board, necessary for achieving sustainable and balanced development. For appointments of persons to the office of directors and deciding composition of the Board, the Nomination and Remuneration Committee ("NRC") and the Board shall also have due regard to this Policy. In this process, the NRC and Board will take into consideration qualification, the expertise of the directors in various fields, which is in due compliance with the Banking Regulation Act 1949, other applicable laws, rules, regulations and other specific requirements of the Bank. The NRC has the responsibility to lead the process for Board appointments and for identifying and nominating, candidates for appointment to the Board. The benefits of diversity continue to influence succession planning and continue to be the key criteria for the search and nomination of directors to the Board.</w:t>
      </w:r>
    </w:p>
    <w:p w14:paraId="6F534309" w14:textId="77777777" w:rsidR="00F3059F" w:rsidRPr="00F3059F" w:rsidRDefault="00F3059F" w:rsidP="00F3059F">
      <w:r w:rsidRPr="00F3059F">
        <w:t xml:space="preserve">The total number of directors constituting the Board shall be in accordance with the Articles of Association of the Bank. The Board of the Bank shall have an optimum combination of executive and non-executive directors with at least </w:t>
      </w:r>
      <w:proofErr w:type="gramStart"/>
      <w:r w:rsidRPr="00F3059F">
        <w:t>one woman</w:t>
      </w:r>
      <w:proofErr w:type="gramEnd"/>
      <w:r w:rsidRPr="00F3059F">
        <w:t xml:space="preserve"> director.</w:t>
      </w:r>
    </w:p>
    <w:p w14:paraId="683FA2AF" w14:textId="77777777" w:rsidR="00F3059F" w:rsidRPr="00F3059F" w:rsidRDefault="00F3059F" w:rsidP="00F3059F">
      <w:pPr>
        <w:rPr>
          <w:b/>
          <w:bCs/>
        </w:rPr>
      </w:pPr>
      <w:r w:rsidRPr="00F3059F">
        <w:rPr>
          <w:b/>
          <w:bCs/>
        </w:rPr>
        <w:t>3. Monitoring and Reporting</w:t>
      </w:r>
    </w:p>
    <w:p w14:paraId="6C50FB7F" w14:textId="77777777" w:rsidR="00F3059F" w:rsidRPr="00F3059F" w:rsidRDefault="00F3059F" w:rsidP="00F3059F">
      <w:r w:rsidRPr="00F3059F">
        <w:t>3.1 As part of the Nomination Committee's annual review of the structure, size and composition of the Board, the Committee will expressly consider and include commentary to the Board on the subject of the diversity of the Board.</w:t>
      </w:r>
    </w:p>
    <w:p w14:paraId="79CD34DD" w14:textId="77777777" w:rsidR="00F3059F" w:rsidRPr="00F3059F" w:rsidRDefault="00F3059F" w:rsidP="00F3059F">
      <w:r w:rsidRPr="00F3059F">
        <w:t>A summary of this will be provided in the Corporate Governance Report which forms part of the Annual Report of the Bank.</w:t>
      </w:r>
    </w:p>
    <w:p w14:paraId="5071FAB2" w14:textId="77777777" w:rsidR="00F3059F" w:rsidRPr="00F3059F" w:rsidRDefault="00F3059F" w:rsidP="00F3059F">
      <w:pPr>
        <w:rPr>
          <w:b/>
          <w:bCs/>
        </w:rPr>
      </w:pPr>
      <w:r w:rsidRPr="00F3059F">
        <w:rPr>
          <w:b/>
          <w:bCs/>
        </w:rPr>
        <w:t>4. Review of the Policy</w:t>
      </w:r>
    </w:p>
    <w:p w14:paraId="3FAB549B" w14:textId="77777777" w:rsidR="00F3059F" w:rsidRPr="00F3059F" w:rsidRDefault="00F3059F" w:rsidP="00F3059F">
      <w:r w:rsidRPr="00F3059F">
        <w:t>4.1 The Board will review this Policy on a regular basis to ensure its effectiveness.</w:t>
      </w:r>
    </w:p>
    <w:p w14:paraId="2AD9A543" w14:textId="77777777" w:rsidR="00F3059F" w:rsidRPr="00F3059F" w:rsidRDefault="00F3059F" w:rsidP="00F3059F">
      <w:r w:rsidRPr="00F3059F">
        <w:pict w14:anchorId="04B85C78">
          <v:rect id="_x0000_i1052" style="width:0;height:1.5pt" o:hralign="center" o:hrstd="t" o:hr="t" fillcolor="#a0a0a0" stroked="f"/>
        </w:pict>
      </w:r>
    </w:p>
    <w:p w14:paraId="7AA5C4D7" w14:textId="77777777" w:rsidR="00F3059F" w:rsidRPr="00F3059F" w:rsidRDefault="00F3059F" w:rsidP="00F3059F">
      <w:r w:rsidRPr="00F3059F">
        <w:rPr>
          <w:b/>
          <w:bCs/>
        </w:rPr>
        <w:t>Document Control:</w:t>
      </w:r>
    </w:p>
    <w:p w14:paraId="447D7393" w14:textId="77777777" w:rsidR="00F3059F" w:rsidRPr="00F3059F" w:rsidRDefault="00F3059F" w:rsidP="00F3059F">
      <w:pPr>
        <w:numPr>
          <w:ilvl w:val="0"/>
          <w:numId w:val="1"/>
        </w:numPr>
      </w:pPr>
      <w:r w:rsidRPr="00F3059F">
        <w:rPr>
          <w:b/>
          <w:bCs/>
        </w:rPr>
        <w:t>Classification:</w:t>
      </w:r>
      <w:r w:rsidRPr="00F3059F">
        <w:t xml:space="preserve"> Confidential</w:t>
      </w:r>
    </w:p>
    <w:p w14:paraId="1BC7B7D4" w14:textId="77777777" w:rsidR="00F3059F" w:rsidRPr="00F3059F" w:rsidRDefault="00F3059F" w:rsidP="00F3059F">
      <w:pPr>
        <w:numPr>
          <w:ilvl w:val="0"/>
          <w:numId w:val="1"/>
        </w:numPr>
      </w:pPr>
      <w:r w:rsidRPr="00F3059F">
        <w:rPr>
          <w:b/>
          <w:bCs/>
        </w:rPr>
        <w:lastRenderedPageBreak/>
        <w:t>Approved by:</w:t>
      </w:r>
      <w:r w:rsidRPr="00F3059F">
        <w:t xml:space="preserve"> Board of Directors</w:t>
      </w:r>
    </w:p>
    <w:p w14:paraId="57E4094B" w14:textId="77777777" w:rsidR="00F3059F" w:rsidRPr="00F3059F" w:rsidRDefault="00F3059F" w:rsidP="00F3059F">
      <w:pPr>
        <w:numPr>
          <w:ilvl w:val="0"/>
          <w:numId w:val="1"/>
        </w:numPr>
      </w:pPr>
      <w:r w:rsidRPr="00F3059F">
        <w:rPr>
          <w:b/>
          <w:bCs/>
        </w:rPr>
        <w:t>Effective Date:</w:t>
      </w:r>
      <w:r w:rsidRPr="00F3059F">
        <w:t xml:space="preserve"> As per version history</w:t>
      </w:r>
    </w:p>
    <w:p w14:paraId="624574CF" w14:textId="77777777" w:rsidR="00F3059F" w:rsidRPr="00F3059F" w:rsidRDefault="00F3059F" w:rsidP="00F3059F">
      <w:pPr>
        <w:numPr>
          <w:ilvl w:val="0"/>
          <w:numId w:val="1"/>
        </w:numPr>
      </w:pPr>
      <w:r w:rsidRPr="00F3059F">
        <w:rPr>
          <w:b/>
          <w:bCs/>
        </w:rPr>
        <w:t>Next Review Date:</w:t>
      </w:r>
      <w:r w:rsidRPr="00F3059F">
        <w:t xml:space="preserve"> To be determined by the Board</w:t>
      </w:r>
    </w:p>
    <w:p w14:paraId="5B1F60DC" w14:textId="77777777" w:rsidR="00F3059F" w:rsidRDefault="00F3059F"/>
    <w:sectPr w:rsidR="00F30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E2C38"/>
    <w:multiLevelType w:val="multilevel"/>
    <w:tmpl w:val="1646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697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59F"/>
    <w:rsid w:val="00951A35"/>
    <w:rsid w:val="00F30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0F422"/>
  <w15:chartTrackingRefBased/>
  <w15:docId w15:val="{07445F3E-1153-48C0-B0E9-4D3F9B03B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5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05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05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05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05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05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5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5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5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5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05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05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05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05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05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5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5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59F"/>
    <w:rPr>
      <w:rFonts w:eastAsiaTheme="majorEastAsia" w:cstheme="majorBidi"/>
      <w:color w:val="272727" w:themeColor="text1" w:themeTint="D8"/>
    </w:rPr>
  </w:style>
  <w:style w:type="paragraph" w:styleId="Title">
    <w:name w:val="Title"/>
    <w:basedOn w:val="Normal"/>
    <w:next w:val="Normal"/>
    <w:link w:val="TitleChar"/>
    <w:uiPriority w:val="10"/>
    <w:qFormat/>
    <w:rsid w:val="00F305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5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5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5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59F"/>
    <w:pPr>
      <w:spacing w:before="160"/>
      <w:jc w:val="center"/>
    </w:pPr>
    <w:rPr>
      <w:i/>
      <w:iCs/>
      <w:color w:val="404040" w:themeColor="text1" w:themeTint="BF"/>
    </w:rPr>
  </w:style>
  <w:style w:type="character" w:customStyle="1" w:styleId="QuoteChar">
    <w:name w:val="Quote Char"/>
    <w:basedOn w:val="DefaultParagraphFont"/>
    <w:link w:val="Quote"/>
    <w:uiPriority w:val="29"/>
    <w:rsid w:val="00F3059F"/>
    <w:rPr>
      <w:i/>
      <w:iCs/>
      <w:color w:val="404040" w:themeColor="text1" w:themeTint="BF"/>
    </w:rPr>
  </w:style>
  <w:style w:type="paragraph" w:styleId="ListParagraph">
    <w:name w:val="List Paragraph"/>
    <w:basedOn w:val="Normal"/>
    <w:uiPriority w:val="34"/>
    <w:qFormat/>
    <w:rsid w:val="00F3059F"/>
    <w:pPr>
      <w:ind w:left="720"/>
      <w:contextualSpacing/>
    </w:pPr>
  </w:style>
  <w:style w:type="character" w:styleId="IntenseEmphasis">
    <w:name w:val="Intense Emphasis"/>
    <w:basedOn w:val="DefaultParagraphFont"/>
    <w:uiPriority w:val="21"/>
    <w:qFormat/>
    <w:rsid w:val="00F3059F"/>
    <w:rPr>
      <w:i/>
      <w:iCs/>
      <w:color w:val="2F5496" w:themeColor="accent1" w:themeShade="BF"/>
    </w:rPr>
  </w:style>
  <w:style w:type="paragraph" w:styleId="IntenseQuote">
    <w:name w:val="Intense Quote"/>
    <w:basedOn w:val="Normal"/>
    <w:next w:val="Normal"/>
    <w:link w:val="IntenseQuoteChar"/>
    <w:uiPriority w:val="30"/>
    <w:qFormat/>
    <w:rsid w:val="00F305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059F"/>
    <w:rPr>
      <w:i/>
      <w:iCs/>
      <w:color w:val="2F5496" w:themeColor="accent1" w:themeShade="BF"/>
    </w:rPr>
  </w:style>
  <w:style w:type="character" w:styleId="IntenseReference">
    <w:name w:val="Intense Reference"/>
    <w:basedOn w:val="DefaultParagraphFont"/>
    <w:uiPriority w:val="32"/>
    <w:qFormat/>
    <w:rsid w:val="00F305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54485">
      <w:bodyDiv w:val="1"/>
      <w:marLeft w:val="0"/>
      <w:marRight w:val="0"/>
      <w:marTop w:val="0"/>
      <w:marBottom w:val="0"/>
      <w:divBdr>
        <w:top w:val="none" w:sz="0" w:space="0" w:color="auto"/>
        <w:left w:val="none" w:sz="0" w:space="0" w:color="auto"/>
        <w:bottom w:val="none" w:sz="0" w:space="0" w:color="auto"/>
        <w:right w:val="none" w:sz="0" w:space="0" w:color="auto"/>
      </w:divBdr>
    </w:div>
    <w:div w:id="90002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611</Words>
  <Characters>3485</Characters>
  <Application>Microsoft Office Word</Application>
  <DocSecurity>0</DocSecurity>
  <Lines>29</Lines>
  <Paragraphs>8</Paragraphs>
  <ScaleCrop>false</ScaleCrop>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dc:creator>
  <cp:keywords/>
  <dc:description/>
  <cp:lastModifiedBy>Dinesh R</cp:lastModifiedBy>
  <cp:revision>1</cp:revision>
  <dcterms:created xsi:type="dcterms:W3CDTF">2025-06-04T12:54:00Z</dcterms:created>
  <dcterms:modified xsi:type="dcterms:W3CDTF">2025-06-04T12:54:00Z</dcterms:modified>
</cp:coreProperties>
</file>