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Company Policy - RAG Test Document</w:t>
      </w:r>
    </w:p>
    <w:p>
      <w:r>
        <w:t>This document is created specifically for testing the RAG Document Q&amp;A application.</w:t>
      </w:r>
    </w:p>
    <w:p>
      <w:pPr>
        <w:pStyle w:val="Heading1"/>
      </w:pPr>
      <w:r>
        <w:t>1. Company Overview</w:t>
      </w:r>
    </w:p>
    <w:p>
      <w:r>
        <w:t>NovaTech Solutions is a fictional software company that builds web applications, data platforms, and AI-powered business tools. The company was founded in 2018 and has offices in Hyderabad and Bengaluru.</w:t>
      </w:r>
    </w:p>
    <w:p>
      <w:pPr>
        <w:pStyle w:val="Heading1"/>
      </w:pPr>
      <w:r>
        <w:t>2. Working Hours</w:t>
      </w:r>
    </w:p>
    <w:p>
      <w:r>
        <w:t>Normal working hours are Monday to Friday, from 9:30 AM to 6:30 PM. Employees receive a one-hour lunch break.</w:t>
      </w:r>
    </w:p>
    <w:p>
      <w:pPr>
        <w:pStyle w:val="Heading1"/>
      </w:pPr>
      <w:r>
        <w:t>3. Annual Leave</w:t>
      </w:r>
    </w:p>
    <w:p>
      <w:r>
        <w:t>Full-time employees receive 18 days of annual leave per calendar year. Employees should request planned leave at least three working days in advance.</w:t>
      </w:r>
    </w:p>
    <w:p>
      <w:pPr>
        <w:pStyle w:val="Heading1"/>
      </w:pPr>
      <w:r>
        <w:t>4. Sick Leave</w:t>
      </w:r>
    </w:p>
    <w:p>
      <w:r>
        <w:t>Employees receive 10 days of sick leave per calendar year. For absences longer than two consecutive working days, the employee may be asked to provide appropriate medical documentation.</w:t>
      </w:r>
    </w:p>
    <w:p>
      <w:pPr>
        <w:pStyle w:val="Heading1"/>
      </w:pPr>
      <w:r>
        <w:t>5. Remote Work</w:t>
      </w:r>
    </w:p>
    <w:p>
      <w:r>
        <w:t>Eligible employees may work remotely up to two days per week with manager approval. Employees are expected to remain available during normal working hours.</w:t>
      </w:r>
    </w:p>
    <w:p>
      <w:pPr>
        <w:pStyle w:val="Heading1"/>
      </w:pPr>
      <w:r>
        <w:t>6. Internet Reimbursement</w:t>
      </w:r>
    </w:p>
    <w:p>
      <w:r>
        <w:t>Employees approved for remote work can claim internet expenses up to INR 1,000 per month. Claims must be submitted through the company expense system.</w:t>
      </w:r>
    </w:p>
    <w:p>
      <w:pPr>
        <w:pStyle w:val="Heading1"/>
      </w:pPr>
      <w:r>
        <w:t>7. Parental Leave</w:t>
      </w:r>
    </w:p>
    <w:p>
      <w:r>
        <w:t>Eligible employees can receive up to 12 weeks of parental leave according to company policy and applicable employment requirements.</w:t>
      </w:r>
    </w:p>
    <w:p>
      <w:pPr>
        <w:pStyle w:val="Heading1"/>
      </w:pPr>
      <w:r>
        <w:t>8. Employee Benefits</w:t>
      </w:r>
    </w:p>
    <w:p>
      <w:r>
        <w:t>Employees receive medical insurance, accidental insurance, access to online learning resources, and an annual professional development allowance of INR 15,000.</w:t>
      </w:r>
    </w:p>
    <w:p>
      <w:pPr>
        <w:pStyle w:val="Heading1"/>
      </w:pPr>
      <w:r>
        <w:t>9. Dress Code</w:t>
      </w:r>
    </w:p>
    <w:p>
      <w:r>
        <w:t>The normal office dress code is business casual. Employees attending client meetings should follow appropriate professional attire.</w:t>
      </w:r>
    </w:p>
    <w:p>
      <w:pPr>
        <w:pStyle w:val="Heading1"/>
      </w:pPr>
      <w:r>
        <w:t>10. Birthday Benefit</w:t>
      </w:r>
    </w:p>
    <w:p>
      <w:r>
        <w:t>Employees receive an INR 2,000 gift voucher during their birthday month.</w:t>
      </w:r>
    </w:p>
    <w:p>
      <w:pPr>
        <w:pStyle w:val="Heading1"/>
      </w:pPr>
      <w:r>
        <w:t>11. Public Holidays</w:t>
      </w:r>
    </w:p>
    <w:p>
      <w:r>
        <w:t>The company publishes an annual holiday calendar at the beginning of each calendar year. The exact holiday dates can vary by office location.</w:t>
      </w:r>
    </w:p>
    <w:p>
      <w:pPr>
        <w:pStyle w:val="Heading1"/>
      </w:pPr>
      <w:r>
        <w:t>12. Important Note</w:t>
      </w:r>
    </w:p>
    <w:p>
      <w:r>
        <w:t>This is a fictional document created for a software assignment. It does not represent the policies of a real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