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841248" cy="371332"/>
            <wp:docPr id="1" name="Picture 1" descr="ONGC Corporate Chemistry emblem" title="ONGC Corporate Chemistry em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GC 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37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E766E"/>
          <w:sz w:val="22"/>
        </w:rPr>
        <w:t>CORPORATE SPECIFICATION DOSSIER</w:t>
      </w:r>
    </w:p>
    <w:p>
      <w:pPr>
        <w:spacing w:after="140"/>
        <w:jc w:val="center"/>
      </w:pPr>
      <w:r>
        <w:rPr>
          <w:rFonts w:ascii="Calibri" w:hAnsi="Calibri"/>
          <w:b/>
          <w:i w:val="0"/>
          <w:color w:val="0B2545"/>
          <w:sz w:val="50"/>
        </w:rPr>
        <w:t>LOW STRENGTH PROPPANT</w:t>
      </w:r>
    </w:p>
    <w:p>
      <w:pPr>
        <w:spacing w:after="280"/>
        <w:jc w:val="center"/>
      </w:pPr>
      <w:r>
        <w:rPr>
          <w:rFonts w:ascii="Calibri" w:hAnsi="Calibri"/>
          <w:b/>
          <w:i w:val="0"/>
          <w:color w:val="1F4D78"/>
          <w:sz w:val="26"/>
        </w:rPr>
        <w:t>ONGC/WS/27/2015  |  v0</w:t>
      </w:r>
    </w:p>
    <w:p>
      <w:pPr>
        <w:spacing w:after="360"/>
        <w:pBdr>
          <w:bottom w:val="single" w:sz="18" w:space="1" w:color="0E766E"/>
        </w:pBdr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 class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Controlled Technical Document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Category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Well Stimulation Chemicals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Specification 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Current / Published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Corporate register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Prepared by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Dinesh Reddy_106228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Reviewed by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Last revised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21 Aug 2026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Generated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22 Aug 2026, 04:50 IST</w:t>
            </w:r>
          </w:p>
        </w:tc>
      </w:tr>
    </w:tbl>
    <w:p>
      <w:pPr>
        <w:spacing w:after="20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0E766E"/>
          <w:left w:val="single" w:sz="5" w:space="0" w:color="0E766E"/>
          <w:bottom w:val="single" w:sz="5" w:space="0" w:color="0E766E"/>
          <w:right w:val="single" w:sz="5" w:space="0" w:color="0E766E"/>
          <w:insideH w:val="single" w:sz="5" w:space="0" w:color="0E766E"/>
          <w:insideV w:val="single" w:sz="5" w:space="0" w:color="0E766E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75A54"/>
                <w:sz w:val="20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This dossier consolidates the current corporate specification, covered register chemicals, technical requirements, material information, impact controls and version history into one read-only review and reference document.</w:t>
            </w:r>
          </w:p>
        </w:tc>
      </w:tr>
    </w:tbl>
    <w:p>
      <w:pPr>
        <w:spacing w:before="320"/>
        <w:jc w:val="center"/>
      </w:pPr>
      <w:r>
        <w:rPr>
          <w:rFonts w:ascii="Calibri" w:hAnsi="Calibri"/>
          <w:b w:val="0"/>
          <w:i/>
          <w:color w:val="667085"/>
          <w:sz w:val="17"/>
        </w:rPr>
        <w:t>Generated from the live ONGC Digital Workspace record. Uncontrolled when printed.</w:t>
      </w:r>
    </w:p>
    <w:p>
      <w:pPr>
        <w:sectPr>
          <w:headerReference w:type="first" r:id="rId10"/>
          <w:headerReference w:type="default" r:id="rId11"/>
          <w:headerReference w:type="even" r:id="rId12"/>
          <w:footerReference w:type="first" r:id="rId13"/>
          <w:footerReference w:type="default" r:id="rId14"/>
          <w:footerReference w:type="even" r:id="rId15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i w:val="0"/>
          <w:color w:val="1F2937"/>
          <w:sz w:val="22"/>
        </w:rPr>
        <w:t>LOW STRENGTH PROPPANT is maintained under ONGC/WS/27/2015. This controlled release contains 22 specification parameters and covers 3 corporate-register chemical entries.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340"/>
        <w:gridCol w:w="2340"/>
        <w:gridCol w:w="2340"/>
        <w:gridCol w:w="2340"/>
      </w:tblGrid>
      <w:tr>
        <w:trPr>
          <w:cantSplit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PARAMETERS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VERSION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IMPACT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REGISTER</w:t>
            </w:r>
          </w:p>
        </w:tc>
      </w:tr>
      <w:tr>
        <w:trPr>
          <w:cantSplit w:val="true"/>
        </w:trPr>
        <w:tc>
          <w:tcPr>
            <w:tcW w:type="dxa" w:w="234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6"/>
              </w:rPr>
              <w:t>22</w:t>
            </w:r>
          </w:p>
        </w:tc>
        <w:tc>
          <w:tcPr>
            <w:tcW w:type="dxa" w:w="234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6"/>
              </w:rPr>
              <w:t>v0</w:t>
            </w:r>
          </w:p>
        </w:tc>
        <w:tc>
          <w:tcPr>
            <w:tcW w:type="dxa" w:w="234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6"/>
              </w:rPr>
              <w:t>LOW IMPACT</w:t>
            </w:r>
          </w:p>
        </w:tc>
        <w:tc>
          <w:tcPr>
            <w:tcW w:type="dxa" w:w="234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6"/>
              </w:rPr>
              <w:t>Yes</w:t>
            </w:r>
          </w:p>
        </w:tc>
      </w:tr>
    </w:tbl>
    <w:p>
      <w:pPr>
        <w:pStyle w:val="Heading2"/>
      </w:pPr>
      <w:r>
        <w:t>Document Control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Specification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ONGC/WS/27/2015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Chemical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STRENGTH PROPPANT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v0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Test procedure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ONGC/ Test Procedure Vol-III / WS / 27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Material reference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090001039 (LSP 12/20)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Standard testing time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day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Prepared by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Dinesh Reddy_106228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Reviewed by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pStyle w:val="Heading2"/>
      </w:pPr>
      <w:r>
        <w:t>Covered Register Chemicals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650"/>
        <w:gridCol w:w="5000"/>
        <w:gridCol w:w="1950"/>
        <w:gridCol w:w="1760"/>
      </w:tblGrid>
      <w:tr>
        <w:trPr>
          <w:cantSplit w:val="true"/>
          <w:tblHeader w:val="true"/>
        </w:trPr>
        <w:tc>
          <w:tcPr>
            <w:tcW w:type="dxa" w:w="6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S. No.</w:t>
            </w:r>
          </w:p>
        </w:tc>
        <w:tc>
          <w:tcPr>
            <w:tcW w:type="dxa" w:w="50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Chemical / Grade</w:t>
            </w:r>
          </w:p>
        </w:tc>
        <w:tc>
          <w:tcPr>
            <w:tcW w:type="dxa" w:w="19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Material Code</w:t>
            </w:r>
          </w:p>
        </w:tc>
        <w:tc>
          <w:tcPr>
            <w:tcW w:type="dxa" w:w="1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Testing Time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Strength Proppant (12/20)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90001039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day</w:t>
            </w:r>
          </w:p>
        </w:tc>
      </w:tr>
      <w:tr>
        <w:trPr>
          <w:cantSplit w:val="true"/>
        </w:trPr>
        <w:tc>
          <w:tcPr>
            <w:tcW w:type="dxa" w:w="6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50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Strength Proppant (20/40)</w:t>
            </w:r>
          </w:p>
        </w:tc>
        <w:tc>
          <w:tcPr>
            <w:tcW w:type="dxa" w:w="19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100101589</w:t>
            </w:r>
          </w:p>
        </w:tc>
        <w:tc>
          <w:tcPr>
            <w:tcW w:type="dxa" w:w="17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Strength Proppant (40/70)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100000281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sectPr>
          <w:headerReference w:type="first" r:id="rId16"/>
          <w:headerReference w:type="default" r:id="rId17"/>
          <w:headerReference w:type="even" r:id="rId18"/>
          <w:footerReference w:type="first" r:id="rId19"/>
          <w:footerReference w:type="default" r:id="rId20"/>
          <w:footerReference w:type="even" r:id="rId21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2. Specification Requirements</w:t>
      </w:r>
    </w:p>
    <w:p>
      <w:r>
        <w:rPr>
          <w:rFonts w:ascii="Calibri" w:hAnsi="Calibri"/>
          <w:b w:val="0"/>
          <w:i w:val="0"/>
          <w:color w:val="667085"/>
          <w:sz w:val="20"/>
        </w:rPr>
        <w:t>The following requirements constitute the current controlled parameter set. Parameter classifications are shown below each parameter name.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560"/>
        <w:gridCol w:w="2450"/>
        <w:gridCol w:w="3380"/>
        <w:gridCol w:w="900"/>
        <w:gridCol w:w="2070"/>
      </w:tblGrid>
      <w:tr>
        <w:trPr>
          <w:cantSplit w:val="true"/>
          <w:tblHeader w:val="true"/>
        </w:trPr>
        <w:tc>
          <w:tcPr>
            <w:tcW w:type="dxa" w:w="56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S. No.</w:t>
            </w:r>
          </w:p>
        </w:tc>
        <w:tc>
          <w:tcPr>
            <w:tcW w:type="dxa" w:w="24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38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Value</w:t>
            </w:r>
          </w:p>
        </w:tc>
        <w:tc>
          <w:tcPr>
            <w:tcW w:type="dxa" w:w="90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07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 / Conditions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Physical State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material shall be in the form of single grains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Sieve Analysis: Size Designation LSP 12/20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ASTM No. 12 / 20 or equivalent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Sieve Analysis: Size Designation LSP 20/40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ASTM No. 20 / 40 or equivalent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Sieve Analysis: Size Designation LSP 40/70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ASTM No. 40 / 70 or equivalent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Fraction retained between</w:t>
              <w:tab/>
              <w:t>the designated</w:t>
              <w:tab/>
              <w:t>sieves sizes,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90.0 (Minimum)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12/20: Fraction retained on ASTM No. 8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0.1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20/40: Fraction retained on ASTM No. 16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0.1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</w:tbl>
    <w:p>
      <w:pPr>
        <w:sectPr>
          <w:headerReference w:type="first" r:id="rId22"/>
          <w:headerReference w:type="default" r:id="rId23"/>
          <w:headerReference w:type="even" r:id="rId24"/>
          <w:footerReference w:type="first" r:id="rId25"/>
          <w:footerReference w:type="default" r:id="rId26"/>
          <w:footerReference w:type="even" r:id="rId27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560"/>
        <w:gridCol w:w="2450"/>
        <w:gridCol w:w="3380"/>
        <w:gridCol w:w="900"/>
        <w:gridCol w:w="2070"/>
      </w:tblGrid>
      <w:tr>
        <w:trPr>
          <w:cantSplit w:val="true"/>
          <w:tblHeader w:val="true"/>
        </w:trPr>
        <w:tc>
          <w:tcPr>
            <w:tcW w:type="dxa" w:w="56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S. No.</w:t>
            </w:r>
          </w:p>
        </w:tc>
        <w:tc>
          <w:tcPr>
            <w:tcW w:type="dxa" w:w="24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38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Value</w:t>
            </w:r>
          </w:p>
        </w:tc>
        <w:tc>
          <w:tcPr>
            <w:tcW w:type="dxa" w:w="90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07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 / Conditions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40/70: Fraction retained on ASTM No. 30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0.1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12/20: Fraction passing through ASTM No. 30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20/40: Fraction passing through ASTM No. 50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40/70: Fraction passing through ASTM No. 100 or equivalent sieve,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12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Sand Grain Clusters, percent by count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&lt; 1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13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Krumbein Sphericity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0.6 (Minimum)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14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Krumbein Roundness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0.6 (Minimum)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15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12/20: Acid solubility in 12% (w/w) HCl + 3% (w/w) HF on dry basis,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2.0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</w:tbl>
    <w:p>
      <w:pPr>
        <w:sectPr>
          <w:headerReference w:type="first" r:id="rId28"/>
          <w:headerReference w:type="default" r:id="rId29"/>
          <w:headerReference w:type="even" r:id="rId30"/>
          <w:footerReference w:type="first" r:id="rId31"/>
          <w:footerReference w:type="default" r:id="rId32"/>
          <w:footerReference w:type="even" r:id="rId33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560"/>
        <w:gridCol w:w="2450"/>
        <w:gridCol w:w="3380"/>
        <w:gridCol w:w="900"/>
        <w:gridCol w:w="2070"/>
      </w:tblGrid>
      <w:tr>
        <w:trPr>
          <w:cantSplit w:val="true"/>
          <w:tblHeader w:val="true"/>
        </w:trPr>
        <w:tc>
          <w:tcPr>
            <w:tcW w:type="dxa" w:w="56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S. No.</w:t>
            </w:r>
          </w:p>
        </w:tc>
        <w:tc>
          <w:tcPr>
            <w:tcW w:type="dxa" w:w="24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338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Value</w:t>
            </w:r>
          </w:p>
        </w:tc>
        <w:tc>
          <w:tcPr>
            <w:tcW w:type="dxa" w:w="90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207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 / Conditions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16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20/40: Acid solubility in 12% (w/w) HCl + 3% (w/w) HF on dry basis,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2.0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17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40/70: Acid solubility in 12% (w/w) HCl + 3% (w/w) HF on dry basis,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3.0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18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Turbidity on dry basis, NTU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250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19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12/20: Crush resistance at 3000 psi fines,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16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20/40: Crush resistance at 4000 psi fines,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14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21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LSP 40/70: Crush resistance at 5000 psi fines, percent by mass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8 (Maximum)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22</w:t>
            </w:r>
          </w:p>
        </w:tc>
        <w:tc>
          <w:tcPr>
            <w:tcW w:type="dxa" w:w="24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Clay and soft particle content, percent by volume</w:t>
            </w:r>
            <w:r>
              <w:rPr>
                <w:rFonts w:ascii="Calibri" w:hAnsi="Calibri"/>
                <w:b w:val="0"/>
                <w:i/>
                <w:color w:val="075A54"/>
                <w:sz w:val="17"/>
              </w:rPr>
              <w:br/>
              <w:t>Essential</w:t>
            </w:r>
          </w:p>
        </w:tc>
        <w:tc>
          <w:tcPr>
            <w:tcW w:type="dxa" w:w="338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(Maximum)</w:t>
            </w:r>
          </w:p>
        </w:tc>
        <w:tc>
          <w:tcPr>
            <w:tcW w:type="dxa" w:w="9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7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—</w:t>
            </w:r>
          </w:p>
        </w:tc>
      </w:tr>
    </w:tbl>
    <w:p>
      <w:pPr>
        <w:sectPr>
          <w:headerReference w:type="first" r:id="rId34"/>
          <w:headerReference w:type="default" r:id="rId35"/>
          <w:headerReference w:type="even" r:id="rId36"/>
          <w:footerReference w:type="first" r:id="rId37"/>
          <w:footerReference w:type="default" r:id="rId38"/>
          <w:footerReference w:type="even" r:id="rId3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3. Specification Narrative</w:t>
      </w:r>
    </w:p>
    <w:p>
      <w:pPr>
        <w:pStyle w:val="Heading2"/>
      </w:pPr>
      <w:r>
        <w:t>Background</w:t>
      </w:r>
    </w:p>
    <w:p>
      <w:r>
        <w:t>Version 0 : Legacy 2015 Specification</w:t>
      </w:r>
    </w:p>
    <w:p>
      <w:pPr>
        <w:pStyle w:val="Heading2"/>
      </w:pPr>
      <w:r>
        <w:t>Recommendation</w:t>
      </w:r>
    </w:p>
    <w:p>
      <w:r>
        <w:t>Migration to 2026 version with type classification of all parameters into Vital and Desirable</w:t>
      </w:r>
    </w:p>
    <w:p>
      <w:pPr>
        <w:pStyle w:val="Heading1"/>
      </w:pPr>
      <w:r>
        <w:t>4. Material and Handling Profile</w:t>
      </w:r>
    </w:p>
    <w:p>
      <w:pPr>
        <w:pStyle w:val="Heading2"/>
      </w:pPr>
      <w:r>
        <w:t>Material Identity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Material Code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090001039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Material Short Text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STRENGTH PROPPANT</w:t>
            </w:r>
          </w:p>
        </w:tc>
      </w:tr>
    </w:tbl>
    <w:p>
      <w:pPr>
        <w:pStyle w:val="Heading2"/>
      </w:pPr>
      <w:r>
        <w:t>Storage and Handling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Storage Conditions - General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Store in a cool, dry, well-ventilated place away from moisture, heat, and direct sunlight</w:t>
            </w:r>
          </w:p>
        </w:tc>
      </w:tr>
    </w:tbl>
    <w:p>
      <w:pPr>
        <w:pStyle w:val="Heading1"/>
      </w:pPr>
      <w:r>
        <w:t>5. Impact and Issue Controls</w:t>
      </w:r>
    </w:p>
    <w:p>
      <w:pPr>
        <w:pStyle w:val="Heading2"/>
      </w:pPr>
      <w:r>
        <w:t>Impact Summary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 Classification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LOW IMPACT (Provisional)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 Rule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triggers found — 10 flag(s) still at REVIEW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Red YES Count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0/5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Amber YES Count</w:t>
            </w:r>
          </w:p>
        </w:tc>
        <w:tc>
          <w:tcPr>
            <w:tcW w:type="dxa" w:w="66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0/5</w:t>
            </w:r>
          </w:p>
        </w:tc>
      </w:tr>
      <w:tr>
        <w:trPr>
          <w:cantSplit w:val="true"/>
        </w:trPr>
        <w:tc>
          <w:tcPr>
            <w:tcW w:type="dxa" w:w="2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Flags Answered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0/10</w:t>
            </w:r>
          </w:p>
        </w:tc>
      </w:tr>
    </w:tbl>
    <w:p>
      <w:pPr>
        <w:sectPr>
          <w:headerReference w:type="first" r:id="rId40"/>
          <w:headerReference w:type="default" r:id="rId41"/>
          <w:headerReference w:type="even" r:id="rId42"/>
          <w:footerReference w:type="first" r:id="rId43"/>
          <w:footerReference w:type="default" r:id="rId44"/>
          <w:footerReference w:type="even" r:id="rId45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2"/>
      </w:pPr>
      <w:r>
        <w:t>Assessment Flags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3400"/>
        <w:gridCol w:w="5960"/>
      </w:tblGrid>
      <w:tr>
        <w:trPr>
          <w:cantSplit w:val="true"/>
          <w:tblHeader w:val="true"/>
        </w:trPr>
        <w:tc>
          <w:tcPr>
            <w:tcW w:type="dxa" w:w="34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Assessment Dimension</w:t>
            </w:r>
          </w:p>
        </w:tc>
        <w:tc>
          <w:tcPr>
            <w:tcW w:type="dxa" w:w="59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Recorded Response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HSE / Hazard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Op-Acute</w:t>
            </w:r>
          </w:p>
        </w:tc>
        <w:tc>
          <w:tcPr>
            <w:tcW w:type="dxa" w:w="59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Op-Chronic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Safety-critical</w:t>
            </w:r>
          </w:p>
        </w:tc>
        <w:tc>
          <w:tcPr>
            <w:tcW w:type="dxa" w:w="59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Environmental-critical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Environment</w:t>
            </w:r>
          </w:p>
        </w:tc>
        <w:tc>
          <w:tcPr>
            <w:tcW w:type="dxa" w:w="59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Regulatory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Supply Chain</w:t>
            </w:r>
          </w:p>
        </w:tc>
        <w:tc>
          <w:tcPr>
            <w:tcW w:type="dxa" w:w="59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Seasonal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340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9"/>
              </w:rPr>
              <w:t>Financial</w:t>
            </w:r>
          </w:p>
        </w:tc>
        <w:tc>
          <w:tcPr>
            <w:tcW w:type="dxa" w:w="59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REVIEW</w:t>
            </w:r>
          </w:p>
        </w:tc>
      </w:tr>
    </w:tbl>
    <w:p>
      <w:pPr>
        <w:pStyle w:val="Heading2"/>
      </w:pPr>
      <w:r>
        <w:t>Issue Register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2150"/>
        <w:gridCol w:w="2050"/>
        <w:gridCol w:w="5160"/>
      </w:tblGrid>
      <w:tr>
        <w:trPr>
          <w:cantSplit w:val="true"/>
          <w:tblHeader w:val="true"/>
        </w:trPr>
        <w:tc>
          <w:tcPr>
            <w:tcW w:type="dxa" w:w="21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Issue Domain</w:t>
            </w:r>
          </w:p>
        </w:tc>
        <w:tc>
          <w:tcPr>
            <w:tcW w:type="dxa" w:w="2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5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Recorded Note</w:t>
            </w:r>
          </w:p>
        </w:tc>
      </w:tr>
      <w:tr>
        <w:trPr>
          <w:cantSplit w:val="true"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Operational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75A54"/>
                <w:sz w:val="17"/>
              </w:rPr>
              <w:t>NO ISSUE RECORDED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1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Quality</w:t>
            </w:r>
          </w:p>
        </w:tc>
        <w:tc>
          <w:tcPr>
            <w:tcW w:type="dxa" w:w="20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75A54"/>
                <w:sz w:val="17"/>
              </w:rPr>
              <w:t>NO ISSUE RECORDED</w:t>
            </w:r>
          </w:p>
        </w:tc>
        <w:tc>
          <w:tcPr>
            <w:tcW w:type="dxa" w:w="51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Supply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75A54"/>
                <w:sz w:val="17"/>
              </w:rPr>
              <w:t>NO ISSUE RECORDED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1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Testing</w:t>
            </w:r>
          </w:p>
        </w:tc>
        <w:tc>
          <w:tcPr>
            <w:tcW w:type="dxa" w:w="205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75A54"/>
                <w:sz w:val="17"/>
              </w:rPr>
              <w:t>NO ISSUE RECORDED</w:t>
            </w:r>
          </w:p>
        </w:tc>
        <w:tc>
          <w:tcPr>
            <w:tcW w:type="dxa" w:w="51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—</w:t>
            </w:r>
          </w:p>
        </w:tc>
      </w:tr>
    </w:tbl>
    <w:p>
      <w:pPr>
        <w:pStyle w:val="Heading1"/>
      </w:pPr>
      <w:r>
        <w:t>6. Governance and Revision Record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1000"/>
        <w:gridCol w:w="1350"/>
        <w:gridCol w:w="1650"/>
        <w:gridCol w:w="1850"/>
        <w:gridCol w:w="3510"/>
      </w:tblGrid>
      <w:tr>
        <w:trPr>
          <w:cantSplit w:val="true"/>
          <w:tblHeader w:val="true"/>
        </w:trPr>
        <w:tc>
          <w:tcPr>
            <w:tcW w:type="dxa" w:w="100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6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85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Recorded By</w:t>
            </w:r>
          </w:p>
        </w:tc>
        <w:tc>
          <w:tcPr>
            <w:tcW w:type="dxa" w:w="3510"/>
            <w:shd w:val="clear" w:color="auto" w:fill="0E766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Reason / Note</w:t>
            </w:r>
          </w:p>
        </w:tc>
      </w:tr>
      <w:tr>
        <w:trPr>
          <w:cantSplit w:val="true"/>
        </w:trPr>
        <w:tc>
          <w:tcPr>
            <w:tcW w:type="dxa" w:w="1000"/>
            <w:shd w:val="clear" w:color="auto" w:fill="E6F3F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75A54"/>
                <w:sz w:val="17"/>
              </w:rPr>
              <w:t>v0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 Mar 2026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Reset Baseline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Dinesh Reddy_106228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 history reset; current content preserved as v0</w:t>
            </w:r>
          </w:p>
        </w:tc>
      </w:tr>
    </w:tbl>
    <w:p>
      <w:pPr>
        <w:pStyle w:val="Heading2"/>
      </w:pPr>
      <w:r>
        <w:t>Review Note</w:t>
      </w:r>
    </w:p>
    <w:p>
      <w:r>
        <w:t>Version history reset; current content preserved as v0</w:t>
      </w:r>
    </w:p>
    <w:sectPr w:rsidR="00FC693F" w:rsidRPr="0006063C" w:rsidSect="00034616">
      <w:headerReference w:type="first" r:id="rId46"/>
      <w:headerReference w:type="default" r:id="rId47"/>
      <w:headerReference w:type="even" r:id="rId48"/>
      <w:footerReference w:type="first" r:id="rId49"/>
      <w:footerReference w:type="default" r:id="rId50"/>
      <w:footerReference w:type="even" r:id="rId5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rPr>
        <w:cantSplit w:val="true"/>
      </w:trPr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67085"/>
              <w:sz w:val="16"/>
            </w:rPr>
            <w:t>ONGC/WS/27/2015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center"/>
          </w:pPr>
          <w:r>
            <w:rPr>
              <w:rFonts w:ascii="Calibri" w:hAnsi="Calibri"/>
              <w:b/>
              <w:i w:val="0"/>
              <w:color w:val="075A54"/>
              <w:sz w:val="16"/>
            </w:rPr>
            <w:t>CONTROLLED COPY</w:t>
          </w:r>
        </w:p>
      </w:tc>
      <w:tc>
        <w:tcPr>
          <w:tcW w:type="dxa" w:w="312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Page </w:t>
          </w:r>
          <w:r>
            <w:fldChar w:fldCharType="begin" w:dirty="true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 xml:space="preserve"> of </w:t>
          </w:r>
          <w:r>
            <w:fldChar w:fldCharType="begin" w:dirty="true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50"/>
      <w:gridCol w:w="8310"/>
    </w:tblGrid>
    <w:tr>
      <w:trPr>
        <w:cantSplit w:val="true"/>
      </w:trPr>
      <w:tc>
        <w:tcPr>
          <w:tcW w:type="dxa" w:w="105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84048" cy="169521"/>
                <wp:docPr id="1" name="Picture 1" descr="ONGC Corporate Chemistry emblem" title="ONGC Corporate Chemistry emble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NGC 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16952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1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0B2545"/>
              <w:sz w:val="17"/>
            </w:rPr>
            <w:t>CORPORATE SPECIFICATION DOSSIER</w:t>
          </w:r>
          <w:r>
            <w:rPr>
              <w:rFonts w:ascii="Calibri" w:hAnsi="Calibri"/>
              <w:b w:val="0"/>
              <w:i w:val="0"/>
              <w:color w:val="667085"/>
              <w:sz w:val="16"/>
            </w:rPr>
            <w:br/>
            <w:t>ONGC/WS/27/2015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cs="Calibri" w:eastAsia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  <w:b w:val="0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cs="Calibri" w:eastAsia="Calibri"/>
      <w:b w:val="0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header" Target="header9.xml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header" Target="header11.xml"/><Relationship Id="rId30" Type="http://schemas.openxmlformats.org/officeDocument/2006/relationships/header" Target="header12.xml"/><Relationship Id="rId31" Type="http://schemas.openxmlformats.org/officeDocument/2006/relationships/footer" Target="footer10.xml"/><Relationship Id="rId32" Type="http://schemas.openxmlformats.org/officeDocument/2006/relationships/footer" Target="footer11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header" Target="header14.xml"/><Relationship Id="rId36" Type="http://schemas.openxmlformats.org/officeDocument/2006/relationships/header" Target="header15.xml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Relationship Id="rId40" Type="http://schemas.openxmlformats.org/officeDocument/2006/relationships/header" Target="header16.xml"/><Relationship Id="rId41" Type="http://schemas.openxmlformats.org/officeDocument/2006/relationships/header" Target="header17.xml"/><Relationship Id="rId42" Type="http://schemas.openxmlformats.org/officeDocument/2006/relationships/header" Target="header18.xml"/><Relationship Id="rId43" Type="http://schemas.openxmlformats.org/officeDocument/2006/relationships/footer" Target="footer16.xml"/><Relationship Id="rId44" Type="http://schemas.openxmlformats.org/officeDocument/2006/relationships/footer" Target="footer17.xml"/><Relationship Id="rId45" Type="http://schemas.openxmlformats.org/officeDocument/2006/relationships/footer" Target="footer18.xml"/><Relationship Id="rId46" Type="http://schemas.openxmlformats.org/officeDocument/2006/relationships/header" Target="header19.xml"/><Relationship Id="rId47" Type="http://schemas.openxmlformats.org/officeDocument/2006/relationships/header" Target="header20.xml"/><Relationship Id="rId48" Type="http://schemas.openxmlformats.org/officeDocument/2006/relationships/header" Target="header21.xml"/><Relationship Id="rId49" Type="http://schemas.openxmlformats.org/officeDocument/2006/relationships/footer" Target="footer19.xml"/><Relationship Id="rId50" Type="http://schemas.openxmlformats.org/officeDocument/2006/relationships/footer" Target="footer20.xml"/><Relationship Id="rId51" Type="http://schemas.openxmlformats.org/officeDocument/2006/relationships/footer" Target="footer2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ONGC/WS/27/2015 — LOW STRENGTH PROPPANT</dc:title>
  <dc:subject>ONGC Corporate Specification Dossier</dc:subject>
  <dc:creator>ONGC Corporate Chemistry</dc:creator>
  <cp:keywords>ONGC, corporate specification, oil field chemicals, CSC</cp:keywords>
  <dc:description>System-generated controlled dossier from ONGC Digital Workspace.</dc:description>
  <cp:lastModifiedBy/>
  <cp:revision>1</cp:revision>
  <dcterms:created xsi:type="dcterms:W3CDTF">2013-12-23T23:15:00Z</dcterms:created>
  <dcterms:modified xsi:type="dcterms:W3CDTF">2013-12-23T23:15:00Z</dcterms:modified>
  <cp:category>Controlled Technical Document</cp:category>
</cp:coreProperties>
</file>