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SIMATS ENGINEERING</w:t>
      </w:r>
    </w:p>
    <w:p>
      <w:pPr>
        <w:jc w:val="center"/>
      </w:pPr>
      <w:r>
        <w:rPr>
          <w:b/>
          <w:sz w:val="32"/>
        </w:rPr>
        <w:t>ASSESSMENT TOOL</w:t>
      </w:r>
    </w:p>
    <w:p/>
    <w:p>
      <w:pPr>
        <w:jc w:val="center"/>
      </w:pPr>
      <w:r>
        <w:rPr>
          <w:b/>
          <w:sz w:val="26"/>
        </w:rPr>
        <w:t>COURSE NAME: 5G/6G COMMUNICATION</w:t>
      </w:r>
    </w:p>
    <w:p>
      <w:pPr>
        <w:jc w:val="center"/>
      </w:pPr>
      <w:r>
        <w:rPr>
          <w:b/>
          <w:sz w:val="24"/>
        </w:rPr>
        <w:t>COURSE CODE: ECA5604</w:t>
      </w:r>
    </w:p>
    <w:p/>
    <w:p>
      <w:r>
        <w:t>COURSE OUTCOME COVERED: CO1 – Understand and articulate the evolution of mobile communication systems, cellular architecture, spectrum utilization, and interference management in wireless communication networks.</w:t>
      </w:r>
    </w:p>
    <w:p>
      <w:r>
        <w:t>Assessment type: Open-ended engineering design report</w:t>
      </w:r>
    </w:p>
    <w:p>
      <w:r>
        <w:t>Assessment duration: 1 week</w:t>
      </w:r>
    </w:p>
    <w:p>
      <w:r>
        <w:t>Total marks: 100</w:t>
      </w:r>
    </w:p>
    <w:p>
      <w:r>
        <w:t>Assessment topic: Evolution, cellular planning, spectrum use and interference management</w:t>
      </w:r>
    </w:p>
    <w:p/>
    <w:p>
      <w:pPr>
        <w:jc w:val="center"/>
      </w:pPr>
      <w:r>
        <w:rPr>
          <w:b/>
          <w:sz w:val="24"/>
        </w:rPr>
        <w:t>Annexure A</w:t>
      </w:r>
    </w:p>
    <w:p>
      <w:pPr>
        <w:jc w:val="center"/>
      </w:pPr>
      <w:r>
        <w:rPr>
          <w:b/>
          <w:sz w:val="26"/>
        </w:rPr>
        <w:t>Integrated Engineering Analysis and Planning Assignment</w:t>
      </w:r>
    </w:p>
    <w:p/>
    <w:p>
      <w:r>
        <w:t>Code of Conduct: I Dinesh.S (192312618) certify that this submission is my original work and that I have adhered to the guidelines specified for this assessment. I understand that any violation of academic integrity rules will result in disciplinary action.</w:t>
      </w:r>
    </w:p>
    <w:p>
      <w:r>
        <w:t>Signature of the student: ______________________________</w:t>
      </w:r>
    </w:p>
    <w:p>
      <w:r>
        <w:br w:type="page"/>
      </w:r>
    </w:p>
    <w:p>
      <w:pPr>
        <w:pStyle w:val="Heading1"/>
      </w:pPr>
      <w:r>
        <w:t>1. Introduction and Engineering Requirements</w:t>
      </w:r>
    </w:p>
    <w:p>
      <w:r>
        <w:t>A regional wireless operator must expand its mobile network while balancing coverage, capacity, spectrum efficiency, mobility and interference. The network plan must also account for the transition from earlier cellular generations to 5G New Radio (NR) and the longer-term 6G vision. This report uses the supplied planning values to calculate key quantities and then combines the results into a phased deployment recommendation.</w:t>
      </w:r>
    </w:p>
    <w:p>
      <w:r>
        <w:t>The main requirements are to explain the evolution of mobile systems from 1G through 6G; estimate cell and cluster areas and frequency reuse; evaluate busy-hour traffic and Erlang B blocking; estimate handoff behavior; quantify interference and SINR; compare 900 MHz, 3.5 GHz and 28 GHz propagation; and explain the international coordination roles of ITU-R, WRC and the Radiocommunication Bureau.</w:t>
      </w:r>
    </w:p>
    <w:p>
      <w:pPr>
        <w:pStyle w:val="Heading2"/>
      </w:pPr>
      <w:r>
        <w:t>1.1 Supplied planning data</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pPr>
              <w:spacing w:after="20"/>
            </w:pPr>
            <w:r/>
            <w:r>
              <w:rPr>
                <w:rFonts w:ascii="Times New Roman" w:hAnsi="Times New Roman" w:eastAsia="Times New Roman"/>
                <w:b/>
                <w:sz w:val="19"/>
              </w:rPr>
              <w:t>Parameter</w:t>
            </w:r>
          </w:p>
        </w:tc>
        <w:tc>
          <w:tcPr>
            <w:tcW w:type="dxa" w:w="4896"/>
            <w:vAlign w:val="center"/>
            <w:shd w:fill="D9E2F3"/>
          </w:tcPr>
          <w:p>
            <w:pPr>
              <w:spacing w:after="20"/>
            </w:pPr>
            <w:r/>
            <w:r>
              <w:rPr>
                <w:rFonts w:ascii="Times New Roman" w:hAnsi="Times New Roman" w:eastAsia="Times New Roman"/>
                <w:b/>
                <w:sz w:val="19"/>
              </w:rPr>
              <w:t>Given value</w:t>
            </w:r>
          </w:p>
        </w:tc>
      </w:tr>
      <w:tr>
        <w:tc>
          <w:tcPr>
            <w:tcW w:type="dxa" w:w="4896"/>
            <w:vAlign w:val="center"/>
          </w:tcPr>
          <w:p>
            <w:pPr>
              <w:spacing w:after="20"/>
            </w:pPr>
            <w:r/>
            <w:r>
              <w:rPr>
                <w:rFonts w:ascii="Times New Roman" w:hAnsi="Times New Roman" w:eastAsia="Times New Roman"/>
                <w:b w:val="0"/>
                <w:sz w:val="19"/>
              </w:rPr>
              <w:t>Cell geometry</w:t>
            </w:r>
          </w:p>
        </w:tc>
        <w:tc>
          <w:tcPr>
            <w:tcW w:type="dxa" w:w="4896"/>
            <w:vAlign w:val="center"/>
          </w:tcPr>
          <w:p>
            <w:pPr>
              <w:spacing w:after="20"/>
            </w:pPr>
            <w:r/>
            <w:r>
              <w:rPr>
                <w:rFonts w:ascii="Times New Roman" w:hAnsi="Times New Roman" w:eastAsia="Times New Roman"/>
                <w:b w:val="0"/>
                <w:sz w:val="19"/>
              </w:rPr>
              <w:t>Hexagonal model; radius r = 2 km; 19-cell planning cluster; reuse cluster size N = 7</w:t>
            </w:r>
          </w:p>
        </w:tc>
      </w:tr>
      <w:tr>
        <w:tc>
          <w:tcPr>
            <w:tcW w:type="dxa" w:w="4896"/>
            <w:vAlign w:val="center"/>
          </w:tcPr>
          <w:p>
            <w:pPr>
              <w:spacing w:after="20"/>
            </w:pPr>
            <w:r/>
            <w:r>
              <w:rPr>
                <w:rFonts w:ascii="Times New Roman" w:hAnsi="Times New Roman" w:eastAsia="Times New Roman"/>
                <w:b w:val="0"/>
                <w:sz w:val="19"/>
              </w:rPr>
              <w:t>Traffic demand</w:t>
            </w:r>
          </w:p>
        </w:tc>
        <w:tc>
          <w:tcPr>
            <w:tcW w:type="dxa" w:w="4896"/>
            <w:vAlign w:val="center"/>
          </w:tcPr>
          <w:p>
            <w:pPr>
              <w:spacing w:after="20"/>
            </w:pPr>
            <w:r/>
            <w:r>
              <w:rPr>
                <w:rFonts w:ascii="Times New Roman" w:hAnsi="Times New Roman" w:eastAsia="Times New Roman"/>
                <w:b w:val="0"/>
                <w:sz w:val="19"/>
              </w:rPr>
              <w:t>1,000 subscribers; 0.08 Erlang per subscriber in busy hour</w:t>
            </w:r>
          </w:p>
        </w:tc>
      </w:tr>
      <w:tr>
        <w:tc>
          <w:tcPr>
            <w:tcW w:type="dxa" w:w="4896"/>
            <w:vAlign w:val="center"/>
          </w:tcPr>
          <w:p>
            <w:pPr>
              <w:spacing w:after="20"/>
            </w:pPr>
            <w:r/>
            <w:r>
              <w:rPr>
                <w:rFonts w:ascii="Times New Roman" w:hAnsi="Times New Roman" w:eastAsia="Times New Roman"/>
                <w:b w:val="0"/>
                <w:sz w:val="19"/>
              </w:rPr>
              <w:t>Traffic channels</w:t>
            </w:r>
          </w:p>
        </w:tc>
        <w:tc>
          <w:tcPr>
            <w:tcW w:type="dxa" w:w="4896"/>
            <w:vAlign w:val="center"/>
          </w:tcPr>
          <w:p>
            <w:pPr>
              <w:spacing w:after="20"/>
            </w:pPr>
            <w:r/>
            <w:r>
              <w:rPr>
                <w:rFonts w:ascii="Times New Roman" w:hAnsi="Times New Roman" w:eastAsia="Times New Roman"/>
                <w:b w:val="0"/>
                <w:sz w:val="19"/>
              </w:rPr>
              <w:t>Initial base station C = 100 channels; target blocking probability ≤ 2%</w:t>
            </w:r>
          </w:p>
        </w:tc>
      </w:tr>
      <w:tr>
        <w:tc>
          <w:tcPr>
            <w:tcW w:type="dxa" w:w="4896"/>
            <w:vAlign w:val="center"/>
          </w:tcPr>
          <w:p>
            <w:pPr>
              <w:spacing w:after="20"/>
            </w:pPr>
            <w:r/>
            <w:r>
              <w:rPr>
                <w:rFonts w:ascii="Times New Roman" w:hAnsi="Times New Roman" w:eastAsia="Times New Roman"/>
                <w:b w:val="0"/>
                <w:sz w:val="19"/>
              </w:rPr>
              <w:t>Mobility</w:t>
            </w:r>
          </w:p>
        </w:tc>
        <w:tc>
          <w:tcPr>
            <w:tcW w:type="dxa" w:w="4896"/>
            <w:vAlign w:val="center"/>
          </w:tcPr>
          <w:p>
            <w:pPr>
              <w:spacing w:after="20"/>
            </w:pPr>
            <w:r/>
            <w:r>
              <w:rPr>
                <w:rFonts w:ascii="Times New Roman" w:hAnsi="Times New Roman" w:eastAsia="Times New Roman"/>
                <w:b w:val="0"/>
                <w:sz w:val="19"/>
              </w:rPr>
              <w:t>Speed = 60 km/h; overlap dwell = 6 s; nominal route cell length = 1 km</w:t>
            </w:r>
          </w:p>
        </w:tc>
      </w:tr>
      <w:tr>
        <w:tc>
          <w:tcPr>
            <w:tcW w:type="dxa" w:w="4896"/>
            <w:vAlign w:val="center"/>
          </w:tcPr>
          <w:p>
            <w:pPr>
              <w:spacing w:after="20"/>
            </w:pPr>
            <w:r/>
            <w:r>
              <w:rPr>
                <w:rFonts w:ascii="Times New Roman" w:hAnsi="Times New Roman" w:eastAsia="Times New Roman"/>
                <w:b w:val="0"/>
                <w:sz w:val="19"/>
              </w:rPr>
              <w:t>Handoff / availability</w:t>
            </w:r>
          </w:p>
        </w:tc>
        <w:tc>
          <w:tcPr>
            <w:tcW w:type="dxa" w:w="4896"/>
            <w:vAlign w:val="center"/>
          </w:tcPr>
          <w:p>
            <w:pPr>
              <w:spacing w:after="20"/>
            </w:pPr>
            <w:r/>
            <w:r>
              <w:rPr>
                <w:rFonts w:ascii="Times New Roman" w:hAnsi="Times New Roman" w:eastAsia="Times New Roman"/>
                <w:b w:val="0"/>
                <w:sz w:val="19"/>
              </w:rPr>
              <w:t>Handoff interruption = 0.5 s; target-cell unavailability = 1%</w:t>
            </w:r>
          </w:p>
        </w:tc>
      </w:tr>
      <w:tr>
        <w:tc>
          <w:tcPr>
            <w:tcW w:type="dxa" w:w="4896"/>
            <w:vAlign w:val="center"/>
          </w:tcPr>
          <w:p>
            <w:pPr>
              <w:spacing w:after="20"/>
            </w:pPr>
            <w:r/>
            <w:r>
              <w:rPr>
                <w:rFonts w:ascii="Times New Roman" w:hAnsi="Times New Roman" w:eastAsia="Times New Roman"/>
                <w:b w:val="0"/>
                <w:sz w:val="19"/>
              </w:rPr>
              <w:t>Interference</w:t>
            </w:r>
          </w:p>
        </w:tc>
        <w:tc>
          <w:tcPr>
            <w:tcW w:type="dxa" w:w="4896"/>
            <w:vAlign w:val="center"/>
          </w:tcPr>
          <w:p>
            <w:pPr>
              <w:spacing w:after="20"/>
            </w:pPr>
            <w:r/>
            <w:r>
              <w:rPr>
                <w:rFonts w:ascii="Times New Roman" w:hAnsi="Times New Roman" w:eastAsia="Times New Roman"/>
                <w:b w:val="0"/>
                <w:sz w:val="19"/>
              </w:rPr>
              <w:t>Desired signal S = −70 dBm; co-channel I₁ = −85 dBm; adjacent-channel I₂ = −90 dBm; target SINR = 15 dB</w:t>
            </w:r>
          </w:p>
        </w:tc>
      </w:tr>
      <w:tr>
        <w:tc>
          <w:tcPr>
            <w:tcW w:type="dxa" w:w="4896"/>
            <w:vAlign w:val="center"/>
          </w:tcPr>
          <w:p>
            <w:pPr>
              <w:spacing w:after="20"/>
            </w:pPr>
            <w:r/>
            <w:r>
              <w:rPr>
                <w:rFonts w:ascii="Times New Roman" w:hAnsi="Times New Roman" w:eastAsia="Times New Roman"/>
                <w:b w:val="0"/>
                <w:sz w:val="19"/>
              </w:rPr>
              <w:t>Spectrum comparison</w:t>
            </w:r>
          </w:p>
        </w:tc>
        <w:tc>
          <w:tcPr>
            <w:tcW w:type="dxa" w:w="4896"/>
            <w:vAlign w:val="center"/>
          </w:tcPr>
          <w:p>
            <w:pPr>
              <w:spacing w:after="20"/>
            </w:pPr>
            <w:r/>
            <w:r>
              <w:rPr>
                <w:rFonts w:ascii="Times New Roman" w:hAnsi="Times New Roman" w:eastAsia="Times New Roman"/>
                <w:b w:val="0"/>
                <w:sz w:val="19"/>
              </w:rPr>
              <w:t>900 MHz, 3.5 GHz and 28 GHz at d = 100 m; c = 3 × 10⁸ m/s</w:t>
            </w:r>
          </w:p>
        </w:tc>
      </w:tr>
      <w:tr>
        <w:tc>
          <w:tcPr>
            <w:tcW w:type="dxa" w:w="4896"/>
            <w:vAlign w:val="center"/>
          </w:tcPr>
          <w:p>
            <w:pPr>
              <w:spacing w:after="20"/>
            </w:pPr>
            <w:r/>
            <w:r>
              <w:rPr>
                <w:rFonts w:ascii="Times New Roman" w:hAnsi="Times New Roman" w:eastAsia="Times New Roman"/>
                <w:b w:val="0"/>
                <w:sz w:val="19"/>
              </w:rPr>
              <w:t>Generation examples</w:t>
            </w:r>
          </w:p>
        </w:tc>
        <w:tc>
          <w:tcPr>
            <w:tcW w:type="dxa" w:w="4896"/>
            <w:vAlign w:val="center"/>
          </w:tcPr>
          <w:p>
            <w:pPr>
              <w:spacing w:after="20"/>
            </w:pPr>
            <w:r/>
            <w:r>
              <w:rPr>
                <w:rFonts w:ascii="Times New Roman" w:hAnsi="Times New Roman" w:eastAsia="Times New Roman"/>
                <w:b w:val="0"/>
                <w:sz w:val="19"/>
              </w:rPr>
              <w:t>1G AMPS; 2G GSM; 3G UMTS; 4G LTE; 5G NR; 6G vision</w:t>
            </w:r>
          </w:p>
        </w:tc>
      </w:tr>
    </w:tbl>
    <w:p/>
    <w:p>
      <w:r>
        <w:t>Assumptions: the given traffic intensity is treated as offered traffic during the busy hour; Erlang B assumes blocked calls are cleared and do not queue; the hexagonal cell model is an ideal geometric approximation; and the spectrum calculations use free-space path loss without additional clutter, shadowing, antenna gain or atmospheric loss.</w:t>
      </w:r>
    </w:p>
    <w:p>
      <w:pPr>
        <w:pStyle w:val="Heading1"/>
      </w:pPr>
      <w:r>
        <w:t>2. Evolution of Mobile Communication Systems</w:t>
      </w:r>
    </w:p>
    <w:p>
      <w:r>
        <w:t>Mobile systems have evolved from analog voice services with limited capacity to programmable, broadband networks supporting low-latency applications, massive device populations and increasingly integrated sensing and communication. Each generation introduced changes in radio access, spectral efficiency, network architecture and interference control.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2F3"/>
          </w:tcPr>
          <w:p>
            <w:pPr>
              <w:spacing w:after="20"/>
            </w:pPr>
            <w:r/>
            <w:r>
              <w:rPr>
                <w:rFonts w:ascii="Times New Roman" w:hAnsi="Times New Roman" w:eastAsia="Times New Roman"/>
                <w:b/>
                <w:sz w:val="17"/>
              </w:rPr>
              <w:t>Generation</w:t>
            </w:r>
          </w:p>
        </w:tc>
        <w:tc>
          <w:tcPr>
            <w:tcW w:type="dxa" w:w="2448"/>
            <w:vAlign w:val="center"/>
            <w:shd w:fill="D9E2F3"/>
          </w:tcPr>
          <w:p>
            <w:pPr>
              <w:spacing w:after="20"/>
            </w:pPr>
            <w:r/>
            <w:r>
              <w:rPr>
                <w:rFonts w:ascii="Times New Roman" w:hAnsi="Times New Roman" w:eastAsia="Times New Roman"/>
                <w:b/>
                <w:sz w:val="17"/>
              </w:rPr>
              <w:t>Supplied example / radio approach</w:t>
            </w:r>
          </w:p>
        </w:tc>
        <w:tc>
          <w:tcPr>
            <w:tcW w:type="dxa" w:w="2448"/>
            <w:vAlign w:val="center"/>
            <w:shd w:fill="D9E2F3"/>
          </w:tcPr>
          <w:p>
            <w:pPr>
              <w:spacing w:after="20"/>
            </w:pPr>
            <w:r/>
            <w:r>
              <w:rPr>
                <w:rFonts w:ascii="Times New Roman" w:hAnsi="Times New Roman" w:eastAsia="Times New Roman"/>
                <w:b/>
                <w:sz w:val="17"/>
              </w:rPr>
              <w:t>Main service capability</w:t>
            </w:r>
          </w:p>
        </w:tc>
        <w:tc>
          <w:tcPr>
            <w:tcW w:type="dxa" w:w="2448"/>
            <w:vAlign w:val="center"/>
            <w:shd w:fill="D9E2F3"/>
          </w:tcPr>
          <w:p>
            <w:pPr>
              <w:spacing w:after="20"/>
            </w:pPr>
            <w:r/>
            <w:r>
              <w:rPr>
                <w:rFonts w:ascii="Times New Roman" w:hAnsi="Times New Roman" w:eastAsia="Times New Roman"/>
                <w:b/>
                <w:sz w:val="17"/>
              </w:rPr>
              <w:t>Limitation or engineering change</w:t>
            </w:r>
          </w:p>
        </w:tc>
      </w:tr>
      <w:tr>
        <w:tc>
          <w:tcPr>
            <w:tcW w:type="dxa" w:w="2448"/>
            <w:vAlign w:val="center"/>
          </w:tcPr>
          <w:p>
            <w:pPr>
              <w:spacing w:after="20"/>
            </w:pPr>
            <w:r/>
            <w:r>
              <w:rPr>
                <w:rFonts w:ascii="Times New Roman" w:hAnsi="Times New Roman" w:eastAsia="Times New Roman"/>
                <w:b w:val="0"/>
                <w:sz w:val="17"/>
              </w:rPr>
              <w:t>1G</w:t>
            </w:r>
          </w:p>
        </w:tc>
        <w:tc>
          <w:tcPr>
            <w:tcW w:type="dxa" w:w="2448"/>
            <w:vAlign w:val="center"/>
          </w:tcPr>
          <w:p>
            <w:pPr>
              <w:spacing w:after="20"/>
            </w:pPr>
            <w:r/>
            <w:r>
              <w:rPr>
                <w:rFonts w:ascii="Times New Roman" w:hAnsi="Times New Roman" w:eastAsia="Times New Roman"/>
                <w:b w:val="0"/>
                <w:sz w:val="17"/>
              </w:rPr>
              <w:t>AMPS; analog FDMA; 800 MHz; 30 kHz channels</w:t>
            </w:r>
          </w:p>
        </w:tc>
        <w:tc>
          <w:tcPr>
            <w:tcW w:type="dxa" w:w="2448"/>
            <w:vAlign w:val="center"/>
          </w:tcPr>
          <w:p>
            <w:pPr>
              <w:spacing w:after="20"/>
            </w:pPr>
            <w:r/>
            <w:r>
              <w:rPr>
                <w:rFonts w:ascii="Times New Roman" w:hAnsi="Times New Roman" w:eastAsia="Times New Roman"/>
                <w:b w:val="0"/>
                <w:sz w:val="17"/>
              </w:rPr>
              <w:t>Basic analog mobile voice</w:t>
            </w:r>
          </w:p>
        </w:tc>
        <w:tc>
          <w:tcPr>
            <w:tcW w:type="dxa" w:w="2448"/>
            <w:vAlign w:val="center"/>
          </w:tcPr>
          <w:p>
            <w:pPr>
              <w:spacing w:after="20"/>
            </w:pPr>
            <w:r/>
            <w:r>
              <w:rPr>
                <w:rFonts w:ascii="Times New Roman" w:hAnsi="Times New Roman" w:eastAsia="Times New Roman"/>
                <w:b w:val="0"/>
                <w:sz w:val="17"/>
              </w:rPr>
              <w:t>Limited capacity, weak privacy and comparatively inefficient use of spectrum encouraged digital cellular systems.</w:t>
            </w:r>
          </w:p>
        </w:tc>
      </w:tr>
      <w:tr>
        <w:tc>
          <w:tcPr>
            <w:tcW w:type="dxa" w:w="2448"/>
            <w:vAlign w:val="center"/>
          </w:tcPr>
          <w:p>
            <w:pPr>
              <w:spacing w:after="20"/>
            </w:pPr>
            <w:r/>
            <w:r>
              <w:rPr>
                <w:rFonts w:ascii="Times New Roman" w:hAnsi="Times New Roman" w:eastAsia="Times New Roman"/>
                <w:b w:val="0"/>
                <w:sz w:val="17"/>
              </w:rPr>
              <w:t>2G</w:t>
            </w:r>
          </w:p>
        </w:tc>
        <w:tc>
          <w:tcPr>
            <w:tcW w:type="dxa" w:w="2448"/>
            <w:vAlign w:val="center"/>
          </w:tcPr>
          <w:p>
            <w:pPr>
              <w:spacing w:after="20"/>
            </w:pPr>
            <w:r/>
            <w:r>
              <w:rPr>
                <w:rFonts w:ascii="Times New Roman" w:hAnsi="Times New Roman" w:eastAsia="Times New Roman"/>
                <w:b w:val="0"/>
                <w:sz w:val="17"/>
              </w:rPr>
              <w:t>GSM; 900 MHz carrier; 200 kHz carrier bandwidth; 8 TDMA slots</w:t>
            </w:r>
          </w:p>
        </w:tc>
        <w:tc>
          <w:tcPr>
            <w:tcW w:type="dxa" w:w="2448"/>
            <w:vAlign w:val="center"/>
          </w:tcPr>
          <w:p>
            <w:pPr>
              <w:spacing w:after="20"/>
            </w:pPr>
            <w:r/>
            <w:r>
              <w:rPr>
                <w:rFonts w:ascii="Times New Roman" w:hAnsi="Times New Roman" w:eastAsia="Times New Roman"/>
                <w:b w:val="0"/>
                <w:sz w:val="17"/>
              </w:rPr>
              <w:t>Digital voice, improved capacity and messaging</w:t>
            </w:r>
          </w:p>
        </w:tc>
        <w:tc>
          <w:tcPr>
            <w:tcW w:type="dxa" w:w="2448"/>
            <w:vAlign w:val="center"/>
          </w:tcPr>
          <w:p>
            <w:pPr>
              <w:spacing w:after="20"/>
            </w:pPr>
            <w:r/>
            <w:r>
              <w:rPr>
                <w:rFonts w:ascii="Times New Roman" w:hAnsi="Times New Roman" w:eastAsia="Times New Roman"/>
                <w:b w:val="0"/>
                <w:sz w:val="17"/>
              </w:rPr>
              <w:t>Digital modulation and time-slot sharing improved spectrum use; data capability remained limited compared with later systems.</w:t>
            </w:r>
          </w:p>
        </w:tc>
      </w:tr>
      <w:tr>
        <w:tc>
          <w:tcPr>
            <w:tcW w:type="dxa" w:w="2448"/>
            <w:vAlign w:val="center"/>
          </w:tcPr>
          <w:p>
            <w:pPr>
              <w:spacing w:after="20"/>
            </w:pPr>
            <w:r/>
            <w:r>
              <w:rPr>
                <w:rFonts w:ascii="Times New Roman" w:hAnsi="Times New Roman" w:eastAsia="Times New Roman"/>
                <w:b w:val="0"/>
                <w:sz w:val="17"/>
              </w:rPr>
              <w:t>3G</w:t>
            </w:r>
          </w:p>
        </w:tc>
        <w:tc>
          <w:tcPr>
            <w:tcW w:type="dxa" w:w="2448"/>
            <w:vAlign w:val="center"/>
          </w:tcPr>
          <w:p>
            <w:pPr>
              <w:spacing w:after="20"/>
            </w:pPr>
            <w:r/>
            <w:r>
              <w:rPr>
                <w:rFonts w:ascii="Times New Roman" w:hAnsi="Times New Roman" w:eastAsia="Times New Roman"/>
                <w:b w:val="0"/>
                <w:sz w:val="17"/>
              </w:rPr>
              <w:t>UMTS; 5 MHz carrier</w:t>
            </w:r>
          </w:p>
        </w:tc>
        <w:tc>
          <w:tcPr>
            <w:tcW w:type="dxa" w:w="2448"/>
            <w:vAlign w:val="center"/>
          </w:tcPr>
          <w:p>
            <w:pPr>
              <w:spacing w:after="20"/>
            </w:pPr>
            <w:r/>
            <w:r>
              <w:rPr>
                <w:rFonts w:ascii="Times New Roman" w:hAnsi="Times New Roman" w:eastAsia="Times New Roman"/>
                <w:b w:val="0"/>
                <w:sz w:val="17"/>
              </w:rPr>
              <w:t>Mobile data and multimedia alongside voice</w:t>
            </w:r>
          </w:p>
        </w:tc>
        <w:tc>
          <w:tcPr>
            <w:tcW w:type="dxa" w:w="2448"/>
            <w:vAlign w:val="center"/>
          </w:tcPr>
          <w:p>
            <w:pPr>
              <w:spacing w:after="20"/>
            </w:pPr>
            <w:r/>
            <w:r>
              <w:rPr>
                <w:rFonts w:ascii="Times New Roman" w:hAnsi="Times New Roman" w:eastAsia="Times New Roman"/>
                <w:b w:val="0"/>
                <w:sz w:val="17"/>
              </w:rPr>
              <w:t>Higher data demand required wider carriers and improved packet-data capability.</w:t>
            </w:r>
          </w:p>
        </w:tc>
      </w:tr>
      <w:tr>
        <w:tc>
          <w:tcPr>
            <w:tcW w:type="dxa" w:w="2448"/>
            <w:vAlign w:val="center"/>
          </w:tcPr>
          <w:p>
            <w:pPr>
              <w:spacing w:after="20"/>
            </w:pPr>
            <w:r/>
            <w:r>
              <w:rPr>
                <w:rFonts w:ascii="Times New Roman" w:hAnsi="Times New Roman" w:eastAsia="Times New Roman"/>
                <w:b w:val="0"/>
                <w:sz w:val="17"/>
              </w:rPr>
              <w:t>4G</w:t>
            </w:r>
          </w:p>
        </w:tc>
        <w:tc>
          <w:tcPr>
            <w:tcW w:type="dxa" w:w="2448"/>
            <w:vAlign w:val="center"/>
          </w:tcPr>
          <w:p>
            <w:pPr>
              <w:spacing w:after="20"/>
            </w:pPr>
            <w:r/>
            <w:r>
              <w:rPr>
                <w:rFonts w:ascii="Times New Roman" w:hAnsi="Times New Roman" w:eastAsia="Times New Roman"/>
                <w:b w:val="0"/>
                <w:sz w:val="17"/>
              </w:rPr>
              <w:t>LTE; OFDMA and MIMO</w:t>
            </w:r>
          </w:p>
        </w:tc>
        <w:tc>
          <w:tcPr>
            <w:tcW w:type="dxa" w:w="2448"/>
            <w:vAlign w:val="center"/>
          </w:tcPr>
          <w:p>
            <w:pPr>
              <w:spacing w:after="20"/>
            </w:pPr>
            <w:r/>
            <w:r>
              <w:rPr>
                <w:rFonts w:ascii="Times New Roman" w:hAnsi="Times New Roman" w:eastAsia="Times New Roman"/>
                <w:b w:val="0"/>
                <w:sz w:val="17"/>
              </w:rPr>
              <w:t>High-speed IP broadband, efficient scheduling and multi-antenna transmission</w:t>
            </w:r>
          </w:p>
        </w:tc>
        <w:tc>
          <w:tcPr>
            <w:tcW w:type="dxa" w:w="2448"/>
            <w:vAlign w:val="center"/>
          </w:tcPr>
          <w:p>
            <w:pPr>
              <w:spacing w:after="20"/>
            </w:pPr>
            <w:r/>
            <w:r>
              <w:rPr>
                <w:rFonts w:ascii="Times New Roman" w:hAnsi="Times New Roman" w:eastAsia="Times New Roman"/>
                <w:b w:val="0"/>
                <w:sz w:val="17"/>
              </w:rPr>
              <w:t>Capacity and spectral efficiency improved, but demand for very high throughput and diverse service requirements motivated 5G.</w:t>
            </w:r>
          </w:p>
        </w:tc>
      </w:tr>
      <w:tr>
        <w:tc>
          <w:tcPr>
            <w:tcW w:type="dxa" w:w="2448"/>
            <w:vAlign w:val="center"/>
          </w:tcPr>
          <w:p>
            <w:pPr>
              <w:spacing w:after="20"/>
            </w:pPr>
            <w:r/>
            <w:r>
              <w:rPr>
                <w:rFonts w:ascii="Times New Roman" w:hAnsi="Times New Roman" w:eastAsia="Times New Roman"/>
                <w:b w:val="0"/>
                <w:sz w:val="17"/>
              </w:rPr>
              <w:t>5G</w:t>
            </w:r>
          </w:p>
        </w:tc>
        <w:tc>
          <w:tcPr>
            <w:tcW w:type="dxa" w:w="2448"/>
            <w:vAlign w:val="center"/>
          </w:tcPr>
          <w:p>
            <w:pPr>
              <w:spacing w:after="20"/>
            </w:pPr>
            <w:r/>
            <w:r>
              <w:rPr>
                <w:rFonts w:ascii="Times New Roman" w:hAnsi="Times New Roman" w:eastAsia="Times New Roman"/>
                <w:b w:val="0"/>
                <w:sz w:val="17"/>
              </w:rPr>
              <w:t>NR; eMBB, URLLC, massive IoT; mid-band and mmWave; beamforming</w:t>
            </w:r>
          </w:p>
        </w:tc>
        <w:tc>
          <w:tcPr>
            <w:tcW w:type="dxa" w:w="2448"/>
            <w:vAlign w:val="center"/>
          </w:tcPr>
          <w:p>
            <w:pPr>
              <w:spacing w:after="20"/>
            </w:pPr>
            <w:r/>
            <w:r>
              <w:rPr>
                <w:rFonts w:ascii="Times New Roman" w:hAnsi="Times New Roman" w:eastAsia="Times New Roman"/>
                <w:b w:val="0"/>
                <w:sz w:val="17"/>
              </w:rPr>
              <w:t>Enhanced broadband, low-latency/reliability-oriented services and large device populations</w:t>
            </w:r>
          </w:p>
        </w:tc>
        <w:tc>
          <w:tcPr>
            <w:tcW w:type="dxa" w:w="2448"/>
            <w:vAlign w:val="center"/>
          </w:tcPr>
          <w:p>
            <w:pPr>
              <w:spacing w:after="20"/>
            </w:pPr>
            <w:r/>
            <w:r>
              <w:rPr>
                <w:rFonts w:ascii="Times New Roman" w:hAnsi="Times New Roman" w:eastAsia="Times New Roman"/>
                <w:b w:val="0"/>
                <w:sz w:val="17"/>
              </w:rPr>
              <w:t>Higher-frequency coverage, dense deployment and interference coordination require careful planning.</w:t>
            </w:r>
          </w:p>
        </w:tc>
      </w:tr>
      <w:tr>
        <w:tc>
          <w:tcPr>
            <w:tcW w:type="dxa" w:w="2448"/>
            <w:vAlign w:val="center"/>
          </w:tcPr>
          <w:p>
            <w:pPr>
              <w:spacing w:after="20"/>
            </w:pPr>
            <w:r/>
            <w:r>
              <w:rPr>
                <w:rFonts w:ascii="Times New Roman" w:hAnsi="Times New Roman" w:eastAsia="Times New Roman"/>
                <w:b w:val="0"/>
                <w:sz w:val="17"/>
              </w:rPr>
              <w:t>6G vision</w:t>
            </w:r>
          </w:p>
        </w:tc>
        <w:tc>
          <w:tcPr>
            <w:tcW w:type="dxa" w:w="2448"/>
            <w:vAlign w:val="center"/>
          </w:tcPr>
          <w:p>
            <w:pPr>
              <w:spacing w:after="20"/>
            </w:pPr>
            <w:r/>
            <w:r>
              <w:rPr>
                <w:rFonts w:ascii="Times New Roman" w:hAnsi="Times New Roman" w:eastAsia="Times New Roman"/>
                <w:b w:val="0"/>
                <w:sz w:val="17"/>
              </w:rPr>
              <w:t>THz, AI-native networking, holographic communication, tactile internet and ISAC</w:t>
            </w:r>
          </w:p>
        </w:tc>
        <w:tc>
          <w:tcPr>
            <w:tcW w:type="dxa" w:w="2448"/>
            <w:vAlign w:val="center"/>
          </w:tcPr>
          <w:p>
            <w:pPr>
              <w:spacing w:after="20"/>
            </w:pPr>
            <w:r/>
            <w:r>
              <w:rPr>
                <w:rFonts w:ascii="Times New Roman" w:hAnsi="Times New Roman" w:eastAsia="Times New Roman"/>
                <w:b w:val="0"/>
                <w:sz w:val="17"/>
              </w:rPr>
              <w:t>Potential integrated communications, sensing and highly immersive applications</w:t>
            </w:r>
          </w:p>
        </w:tc>
        <w:tc>
          <w:tcPr>
            <w:tcW w:type="dxa" w:w="2448"/>
            <w:vAlign w:val="center"/>
          </w:tcPr>
          <w:p>
            <w:pPr>
              <w:spacing w:after="20"/>
            </w:pPr>
            <w:r/>
            <w:r>
              <w:rPr>
                <w:rFonts w:ascii="Times New Roman" w:hAnsi="Times New Roman" w:eastAsia="Times New Roman"/>
                <w:b w:val="0"/>
                <w:sz w:val="17"/>
              </w:rPr>
              <w:t>These remain vision-level capabilities; spectrum, propagation, hardware, energy and standardisation challenges must be resolved.</w:t>
            </w:r>
          </w:p>
        </w:tc>
      </w:tr>
    </w:tbl>
    <w:p/>
    <w:p>
      <w:pPr>
        <w:pStyle w:val="Heading2"/>
      </w:pPr>
      <w:r>
        <w:t>2.1 1G wavelength and idealised channel count</w:t>
      </w:r>
    </w:p>
    <w:p>
      <w:pPr>
        <w:jc w:val="center"/>
      </w:pPr>
      <w:r>
        <w:rPr>
          <w:b/>
          <w:sz w:val="22"/>
        </w:rPr>
        <w:t>Wavelength:  λ = c / f = (3 × 10⁸) / (800 × 10⁶) = 0.375 m</w:t>
      </w:r>
    </w:p>
    <w:p>
      <w:r>
        <w:t>The wavelength at 800 MHz is 0.375 m, or 37.5 cm.</w:t>
      </w:r>
    </w:p>
    <w:p>
      <w:pPr>
        <w:jc w:val="center"/>
      </w:pPr>
      <w:r>
        <w:rPr>
          <w:b/>
          <w:sz w:val="22"/>
        </w:rPr>
        <w:t>Idealised channel count = 10 MHz / 30 kHz = 10,000 kHz / 30 kHz ≈ 333 channels</w:t>
      </w:r>
    </w:p>
    <w:p>
      <w:r>
        <w:t>The arithmetic gives approximately 333 channel-width units. This is an idealised upper-bound calculation, not a deployable channel plan. It ignores guard bands, duplexing requirements, channel pairing, control-channel needs and other practical allocation constraints. If the 10 MHz allocation is divided between uplink and downlink or includes guard spectrum, fewer than 333 one-way traffic channels can be supported.</w:t>
      </w:r>
    </w:p>
    <w:p>
      <w:r>
        <w:t>The move from 1G analog FDMA to 2G digital transmission with TDMA allowed multiple users to share a carrier in separate time slots and enabled improved voice quality, capacity and service features. Across generations, spectrum management moved from allocating narrow analog channels toward scheduling, coding, multi-antenna processing, beamforming and coordinated reuse. These techniques improve capacity but make interference management more dynamic and spatially dependent.</w:t>
      </w:r>
    </w:p>
    <w:p>
      <w:pPr>
        <w:pStyle w:val="Heading1"/>
      </w:pPr>
      <w:r>
        <w:t>3. Cell Geometry and Frequency Reuse</w:t>
      </w:r>
    </w:p>
    <w:p>
      <w:pPr>
        <w:pStyle w:val="Heading2"/>
      </w:pPr>
      <w:r>
        <w:t>3.1 Area of one hexagonal cell</w:t>
      </w:r>
    </w:p>
    <w:p>
      <w:r>
        <w:t>For a regular hexagon with radius r measured from its centre to a vertex, the area is:</w:t>
      </w:r>
    </w:p>
    <w:p>
      <w:pPr>
        <w:jc w:val="center"/>
      </w:pPr>
      <w:r>
        <w:rPr>
          <w:b/>
          <w:sz w:val="22"/>
        </w:rPr>
        <w:t>A_cell = (3√3 / 2) r²</w:t>
      </w:r>
    </w:p>
    <w:p>
      <w:pPr>
        <w:jc w:val="center"/>
      </w:pPr>
      <w:r>
        <w:rPr>
          <w:b/>
          <w:sz w:val="22"/>
        </w:rPr>
        <w:t>A_cell = (3√3 / 2)(2 km)² = 6√3 ≈ 10.392 km²</w:t>
      </w:r>
    </w:p>
    <w:p>
      <w:r>
        <w:t>Therefore, the idealised area of one cell is approximately 10.39 km².</w:t>
      </w:r>
    </w:p>
    <w:p>
      <w:pPr>
        <w:pStyle w:val="Heading2"/>
      </w:pPr>
      <w:r>
        <w:t>3.2 Total area of a 19-cell cluster</w:t>
      </w:r>
    </w:p>
    <w:p>
      <w:pPr>
        <w:jc w:val="center"/>
      </w:pPr>
      <w:r>
        <w:rPr>
          <w:b/>
          <w:sz w:val="22"/>
        </w:rPr>
        <w:t>A_cluster = 19 × 10.392 ≈ 197.45 km²</w:t>
      </w:r>
    </w:p>
    <w:p>
      <w:r>
        <w:t>The 19-cell cluster covers approximately 197.45 km² in the ideal geometric model. This is the sum of the nominal hexagonal areas and does not imply that every point in the region will receive a usable signal.</w:t>
      </w:r>
    </w:p>
    <w:p>
      <w:pPr>
        <w:pStyle w:val="Heading2"/>
      </w:pPr>
      <w:r>
        <w:t>3.3 Frequency reuse fraction and distance</w:t>
      </w:r>
    </w:p>
    <w:p>
      <w:pPr>
        <w:jc w:val="center"/>
      </w:pPr>
      <w:r>
        <w:rPr>
          <w:b/>
          <w:sz w:val="22"/>
        </w:rPr>
        <w:t>Reuse fraction = 1 / N = 1 / 7 ≈ 0.1429 = 14.29%</w:t>
      </w:r>
    </w:p>
    <w:p>
      <w:pPr>
        <w:jc w:val="center"/>
      </w:pPr>
      <w:r>
        <w:rPr>
          <w:b/>
          <w:sz w:val="22"/>
        </w:rPr>
        <w:t>D = r√(3N) = 2√(3 × 7) = 2√21 ≈ 9.17 km</w:t>
      </w:r>
    </w:p>
    <w:p>
      <w:r>
        <w:t>With cluster size N = 7, each cell is assigned approximately one-seventh of the total available frequency resource under a simple fixed-reuse interpretation. The reuse distance is approximately 9.17 km. This distance helps separate co-channel cells, although actual interference depends on terrain, antenna patterns, transmit power, traffic loading and propagation conditions.</w:t>
      </w:r>
    </w:p>
    <w:p>
      <w:r>
        <w:t>The hexagonal approximation assumes uniform terrain, regular cell spacing, ideal cell boundaries and a nominal radius that represents coverage. Real radio coverage is irregular because buildings, foliage, topography, shadowing, antenna tilt and fading alter signal levels. Geometric coverage is therefore not the same as guaranteed radio coverage or guaranteed service quality.</w:t>
      </w:r>
    </w:p>
    <w:p>
      <w:pPr>
        <w:pStyle w:val="Heading2"/>
      </w:pPr>
      <w:r>
        <w:t>3.4 Capacity-expansion options</w:t>
      </w:r>
    </w:p>
    <w:p>
      <w:pPr>
        <w:pStyle w:val="ListBullet"/>
        <w:spacing w:after="60"/>
      </w:pPr>
      <w:r>
        <w:t>Cell splitting: divides a large cell into smaller cells, increasing spatial reuse and capacity. It requires additional sites and can increase handoff frequency and inter-cell interference if power and reuse are not replanned.</w:t>
      </w:r>
    </w:p>
    <w:p>
      <w:pPr>
        <w:pStyle w:val="ListBullet"/>
        <w:spacing w:after="60"/>
      </w:pPr>
      <w:r>
        <w:t>Sectoring: uses directional antennas to divide a cell into sectors. It can reduce the number of strong interferers seen by a receiver, but requires antenna planning and may increase handoffs between sectors.</w:t>
      </w:r>
    </w:p>
    <w:p>
      <w:pPr>
        <w:pStyle w:val="ListBullet"/>
        <w:spacing w:after="60"/>
      </w:pPr>
      <w:r>
        <w:t>Microcells: serve smaller outdoor areas with higher user density, improving local capacity while increasing site density and mobility events.</w:t>
      </w:r>
    </w:p>
    <w:p>
      <w:pPr>
        <w:pStyle w:val="ListBullet"/>
        <w:spacing w:after="60"/>
      </w:pPr>
      <w:r>
        <w:t>Picocells: provide local indoor or venue capacity in offices, campuses and shopping areas, usually with low transmit power and short range.</w:t>
      </w:r>
    </w:p>
    <w:p>
      <w:pPr>
        <w:pStyle w:val="ListBullet"/>
        <w:spacing w:after="60"/>
      </w:pPr>
      <w:r>
        <w:t>Femtocells: provide very small premises coverage, often for homes or small offices. They can offload traffic but require interference, access and backhaul management.</w:t>
      </w:r>
    </w:p>
    <w:p>
      <w:r>
        <w:t>Recommendation: use targeted sectoring and microcells first in demonstrated traffic hotspots, retaining the existing macro layer for broad-area coverage. Add picocells for indoor venues where measurements show persistent capacity gaps. This staged approach avoids redesigning the entire regional network at once. The trade-offs are more sites, more handoff events, increased operational complexity and a need for coordinated power, frequency and antenna configuration.</w:t>
      </w:r>
    </w:p>
    <w:p>
      <w:pPr>
        <w:pStyle w:val="Heading1"/>
      </w:pPr>
      <w:r>
        <w:t>4. Traffic Capacity and Erlang B Analysis</w:t>
      </w:r>
    </w:p>
    <w:p>
      <w:pPr>
        <w:pStyle w:val="Heading2"/>
      </w:pPr>
      <w:r>
        <w:t>4.1 Offered busy-hour traffic</w:t>
      </w:r>
    </w:p>
    <w:p>
      <w:pPr>
        <w:jc w:val="center"/>
      </w:pPr>
      <w:r>
        <w:rPr>
          <w:b/>
          <w:sz w:val="22"/>
        </w:rPr>
        <w:t>A = number of subscribers × traffic per subscriber</w:t>
      </w:r>
    </w:p>
    <w:p>
      <w:pPr>
        <w:jc w:val="center"/>
      </w:pPr>
      <w:r>
        <w:rPr>
          <w:b/>
          <w:sz w:val="22"/>
        </w:rPr>
        <w:t>A = 1,000 × 0.08 = 80 Erlangs</w:t>
      </w:r>
    </w:p>
    <w:p>
      <w:r>
        <w:t>The planning area offers 80 Erlangs of busy-hour traffic. One Erlang represents one continuously occupied traffic channel on average over the measurement interval. This calculation assumes the 1,000 subscribers share the same busy-hour traffic profile and that 0.08 Erlang is a valid average offered load per subscriber.</w:t>
      </w:r>
    </w:p>
    <w:p>
      <w:pPr>
        <w:pStyle w:val="Heading2"/>
      </w:pPr>
      <w:r>
        <w:t>4.2 Erlang B blocking probability</w:t>
      </w:r>
    </w:p>
    <w:p>
      <w:r>
        <w:t>Erlang B estimates the probability that a call is blocked when all C channels are occupied, assuming blocked calls are cleared and there is no queue. The recursive calculation is B(0,A) = 1 and B(C,A) = [A × B(C−1,A)] / [C + A × B(C−1,A)].</w:t>
      </w:r>
    </w:p>
    <w:p>
      <w:pPr>
        <w:jc w:val="center"/>
      </w:pPr>
      <w:r>
        <w:rPr>
          <w:b/>
          <w:sz w:val="22"/>
        </w:rPr>
        <w:t>For A = 80 Erlangs and C = 100 channels: B(100,80) ≈ 0.003992 = 0.399%</w:t>
      </w:r>
    </w:p>
    <w:p>
      <w:r>
        <w:t>The initial 100-channel group has an estimated blocking probability of about 0.40%, which is below the 2% target. To find the minimum channel count, the Erlang B calculation is evaluated for decreasing C. At 91 channels, blocking is approximately 2.254%; at 92 channels, it is approximately 1.922%. Therefore, the smallest channel count meeting the target is 92.</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2F3"/>
          </w:tcPr>
          <w:p>
            <w:pPr>
              <w:spacing w:after="20"/>
            </w:pPr>
            <w:r/>
            <w:r>
              <w:rPr>
                <w:rFonts w:ascii="Times New Roman" w:hAnsi="Times New Roman" w:eastAsia="Times New Roman"/>
                <w:b/>
                <w:sz w:val="19"/>
              </w:rPr>
              <w:t>Channels C</w:t>
            </w:r>
          </w:p>
        </w:tc>
        <w:tc>
          <w:tcPr>
            <w:tcW w:type="dxa" w:w="2448"/>
            <w:vAlign w:val="center"/>
            <w:shd w:fill="D9E2F3"/>
          </w:tcPr>
          <w:p>
            <w:pPr>
              <w:spacing w:after="20"/>
            </w:pPr>
            <w:r/>
            <w:r>
              <w:rPr>
                <w:rFonts w:ascii="Times New Roman" w:hAnsi="Times New Roman" w:eastAsia="Times New Roman"/>
                <w:b/>
                <w:sz w:val="19"/>
              </w:rPr>
              <w:t>Offered traffic A</w:t>
            </w:r>
          </w:p>
        </w:tc>
        <w:tc>
          <w:tcPr>
            <w:tcW w:type="dxa" w:w="2448"/>
            <w:vAlign w:val="center"/>
            <w:shd w:fill="D9E2F3"/>
          </w:tcPr>
          <w:p>
            <w:pPr>
              <w:spacing w:after="20"/>
            </w:pPr>
            <w:r/>
            <w:r>
              <w:rPr>
                <w:rFonts w:ascii="Times New Roman" w:hAnsi="Times New Roman" w:eastAsia="Times New Roman"/>
                <w:b/>
                <w:sz w:val="19"/>
              </w:rPr>
              <w:t>Estimated Erlang B blocking</w:t>
            </w:r>
          </w:p>
        </w:tc>
        <w:tc>
          <w:tcPr>
            <w:tcW w:type="dxa" w:w="2448"/>
            <w:vAlign w:val="center"/>
            <w:shd w:fill="D9E2F3"/>
          </w:tcPr>
          <w:p>
            <w:pPr>
              <w:spacing w:after="20"/>
            </w:pPr>
            <w:r/>
            <w:r>
              <w:rPr>
                <w:rFonts w:ascii="Times New Roman" w:hAnsi="Times New Roman" w:eastAsia="Times New Roman"/>
                <w:b/>
                <w:sz w:val="19"/>
              </w:rPr>
              <w:t>Meets ≤ 2%?</w:t>
            </w:r>
          </w:p>
        </w:tc>
      </w:tr>
      <w:tr>
        <w:tc>
          <w:tcPr>
            <w:tcW w:type="dxa" w:w="2448"/>
            <w:vAlign w:val="center"/>
          </w:tcPr>
          <w:p>
            <w:pPr>
              <w:spacing w:after="20"/>
            </w:pPr>
            <w:r/>
            <w:r>
              <w:rPr>
                <w:rFonts w:ascii="Times New Roman" w:hAnsi="Times New Roman" w:eastAsia="Times New Roman"/>
                <w:b w:val="0"/>
                <w:sz w:val="19"/>
              </w:rPr>
              <w:t>91</w:t>
            </w:r>
          </w:p>
        </w:tc>
        <w:tc>
          <w:tcPr>
            <w:tcW w:type="dxa" w:w="2448"/>
            <w:vAlign w:val="center"/>
          </w:tcPr>
          <w:p>
            <w:pPr>
              <w:spacing w:after="20"/>
            </w:pPr>
            <w:r/>
            <w:r>
              <w:rPr>
                <w:rFonts w:ascii="Times New Roman" w:hAnsi="Times New Roman" w:eastAsia="Times New Roman"/>
                <w:b w:val="0"/>
                <w:sz w:val="19"/>
              </w:rPr>
              <w:t>80 Erlangs</w:t>
            </w:r>
          </w:p>
        </w:tc>
        <w:tc>
          <w:tcPr>
            <w:tcW w:type="dxa" w:w="2448"/>
            <w:vAlign w:val="center"/>
          </w:tcPr>
          <w:p>
            <w:pPr>
              <w:spacing w:after="20"/>
            </w:pPr>
            <w:r/>
            <w:r>
              <w:rPr>
                <w:rFonts w:ascii="Times New Roman" w:hAnsi="Times New Roman" w:eastAsia="Times New Roman"/>
                <w:b w:val="0"/>
                <w:sz w:val="19"/>
              </w:rPr>
              <w:t>2.254%</w:t>
            </w:r>
          </w:p>
        </w:tc>
        <w:tc>
          <w:tcPr>
            <w:tcW w:type="dxa" w:w="2448"/>
            <w:vAlign w:val="center"/>
          </w:tcPr>
          <w:p>
            <w:pPr>
              <w:spacing w:after="20"/>
            </w:pPr>
            <w:r/>
            <w:r>
              <w:rPr>
                <w:rFonts w:ascii="Times New Roman" w:hAnsi="Times New Roman" w:eastAsia="Times New Roman"/>
                <w:b w:val="0"/>
                <w:sz w:val="19"/>
              </w:rPr>
              <w:t>No</w:t>
            </w:r>
          </w:p>
        </w:tc>
      </w:tr>
      <w:tr>
        <w:tc>
          <w:tcPr>
            <w:tcW w:type="dxa" w:w="2448"/>
            <w:vAlign w:val="center"/>
          </w:tcPr>
          <w:p>
            <w:pPr>
              <w:spacing w:after="20"/>
            </w:pPr>
            <w:r/>
            <w:r>
              <w:rPr>
                <w:rFonts w:ascii="Times New Roman" w:hAnsi="Times New Roman" w:eastAsia="Times New Roman"/>
                <w:b w:val="0"/>
                <w:sz w:val="19"/>
              </w:rPr>
              <w:t>92</w:t>
            </w:r>
          </w:p>
        </w:tc>
        <w:tc>
          <w:tcPr>
            <w:tcW w:type="dxa" w:w="2448"/>
            <w:vAlign w:val="center"/>
          </w:tcPr>
          <w:p>
            <w:pPr>
              <w:spacing w:after="20"/>
            </w:pPr>
            <w:r/>
            <w:r>
              <w:rPr>
                <w:rFonts w:ascii="Times New Roman" w:hAnsi="Times New Roman" w:eastAsia="Times New Roman"/>
                <w:b w:val="0"/>
                <w:sz w:val="19"/>
              </w:rPr>
              <w:t>80 Erlangs</w:t>
            </w:r>
          </w:p>
        </w:tc>
        <w:tc>
          <w:tcPr>
            <w:tcW w:type="dxa" w:w="2448"/>
            <w:vAlign w:val="center"/>
          </w:tcPr>
          <w:p>
            <w:pPr>
              <w:spacing w:after="20"/>
            </w:pPr>
            <w:r/>
            <w:r>
              <w:rPr>
                <w:rFonts w:ascii="Times New Roman" w:hAnsi="Times New Roman" w:eastAsia="Times New Roman"/>
                <w:b w:val="0"/>
                <w:sz w:val="19"/>
              </w:rPr>
              <w:t>1.922%</w:t>
            </w:r>
          </w:p>
        </w:tc>
        <w:tc>
          <w:tcPr>
            <w:tcW w:type="dxa" w:w="2448"/>
            <w:vAlign w:val="center"/>
          </w:tcPr>
          <w:p>
            <w:pPr>
              <w:spacing w:after="20"/>
            </w:pPr>
            <w:r/>
            <w:r>
              <w:rPr>
                <w:rFonts w:ascii="Times New Roman" w:hAnsi="Times New Roman" w:eastAsia="Times New Roman"/>
                <w:b w:val="0"/>
                <w:sz w:val="19"/>
              </w:rPr>
              <w:t>Yes</w:t>
            </w:r>
          </w:p>
        </w:tc>
      </w:tr>
      <w:tr>
        <w:tc>
          <w:tcPr>
            <w:tcW w:type="dxa" w:w="2448"/>
            <w:vAlign w:val="center"/>
          </w:tcPr>
          <w:p>
            <w:pPr>
              <w:spacing w:after="20"/>
            </w:pPr>
            <w:r/>
            <w:r>
              <w:rPr>
                <w:rFonts w:ascii="Times New Roman" w:hAnsi="Times New Roman" w:eastAsia="Times New Roman"/>
                <w:b w:val="0"/>
                <w:sz w:val="19"/>
              </w:rPr>
              <w:t>100</w:t>
            </w:r>
          </w:p>
        </w:tc>
        <w:tc>
          <w:tcPr>
            <w:tcW w:type="dxa" w:w="2448"/>
            <w:vAlign w:val="center"/>
          </w:tcPr>
          <w:p>
            <w:pPr>
              <w:spacing w:after="20"/>
            </w:pPr>
            <w:r/>
            <w:r>
              <w:rPr>
                <w:rFonts w:ascii="Times New Roman" w:hAnsi="Times New Roman" w:eastAsia="Times New Roman"/>
                <w:b w:val="0"/>
                <w:sz w:val="19"/>
              </w:rPr>
              <w:t>80 Erlangs</w:t>
            </w:r>
          </w:p>
        </w:tc>
        <w:tc>
          <w:tcPr>
            <w:tcW w:type="dxa" w:w="2448"/>
            <w:vAlign w:val="center"/>
          </w:tcPr>
          <w:p>
            <w:pPr>
              <w:spacing w:after="20"/>
            </w:pPr>
            <w:r/>
            <w:r>
              <w:rPr>
                <w:rFonts w:ascii="Times New Roman" w:hAnsi="Times New Roman" w:eastAsia="Times New Roman"/>
                <w:b w:val="0"/>
                <w:sz w:val="19"/>
              </w:rPr>
              <w:t>0.399%</w:t>
            </w:r>
          </w:p>
        </w:tc>
        <w:tc>
          <w:tcPr>
            <w:tcW w:type="dxa" w:w="2448"/>
            <w:vAlign w:val="center"/>
          </w:tcPr>
          <w:p>
            <w:pPr>
              <w:spacing w:after="20"/>
            </w:pPr>
            <w:r/>
            <w:r>
              <w:rPr>
                <w:rFonts w:ascii="Times New Roman" w:hAnsi="Times New Roman" w:eastAsia="Times New Roman"/>
                <w:b w:val="0"/>
                <w:sz w:val="19"/>
              </w:rPr>
              <w:t>Yes</w:t>
            </w:r>
          </w:p>
        </w:tc>
      </w:tr>
    </w:tbl>
    <w:p/>
    <w:p>
      <w:pPr>
        <w:pStyle w:val="Heading2"/>
      </w:pPr>
      <w:r>
        <w:t>4.3 Number of 100-channel groups and planning meaning</w:t>
      </w:r>
    </w:p>
    <w:p>
      <w:r>
        <w:t>The channel requirement is 92 channels. Dividing this by 100 gives 0.92 of a 100-channel group; rounded up, one 100-channel base-station channel group is sufficient in this simplified arithmetic. The supplied initial base station with 100 channels already meets the blocking target for 80 Erlangs.</w:t>
      </w:r>
    </w:p>
    <w:p>
      <w:r>
        <w:t>This is only a first-order estimate, not a complete site plan. It does not allocate channels across individual cells, account for frequency reuse or sectorisation, distinguish control and traffic channels, model non-uniform subscriber distribution, include future growth, or consider handoff-reserved capacity. A real design should use per-cell busy-hour measurements, a traffic forecast, the chosen radio technology's resource model and a detailed frequency/interference plan.</w:t>
      </w:r>
    </w:p>
    <w:p>
      <w:r>
        <w:t>The result illustrates a capacity trade-off: adding channels reduces blocking but may require additional spectrum, radio equipment or sites. Over-provisioning can increase cost, while under-provisioning degrades call accessibility. The 100-channel case has useful margin against the specified 2% threshold, but the margin must be reassessed as traffic grows.</w:t>
      </w:r>
    </w:p>
    <w:p>
      <w:pPr>
        <w:pStyle w:val="Heading1"/>
      </w:pPr>
      <w:r>
        <w:t>5. Mobility and Handoff Evaluation</w:t>
      </w:r>
    </w:p>
    <w:p>
      <w:pPr>
        <w:pStyle w:val="Heading2"/>
      </w:pPr>
      <w:r>
        <w:t>5.1 Distance travelled during overlap</w:t>
      </w:r>
    </w:p>
    <w:p>
      <w:pPr>
        <w:jc w:val="center"/>
      </w:pPr>
      <w:r>
        <w:rPr>
          <w:b/>
          <w:sz w:val="22"/>
        </w:rPr>
        <w:t>Speed = 60 km/h = 60 / 3,600 km/s = 0.01667 km/s</w:t>
      </w:r>
    </w:p>
    <w:p>
      <w:pPr>
        <w:jc w:val="center"/>
      </w:pPr>
      <w:r>
        <w:rPr>
          <w:b/>
          <w:sz w:val="22"/>
        </w:rPr>
        <w:t>Distance in 6 s = 0.01667 × 6 = 0.1 km = 100 m</w:t>
      </w:r>
    </w:p>
    <w:p>
      <w:r>
        <w:t>A mobile travelling at 60 km/h moves approximately 100 m during the six-second overlap zone. The overlap must therefore be long enough, in distance and signal quality, to allow handoff measurements, decisions and execution before the serving link becomes unusable.</w:t>
      </w:r>
    </w:p>
    <w:p>
      <w:pPr>
        <w:pStyle w:val="Heading2"/>
      </w:pPr>
      <w:r>
        <w:t>5.2 Estimated hard handoffs per minute</w:t>
      </w:r>
    </w:p>
    <w:p>
      <w:pPr>
        <w:jc w:val="center"/>
      </w:pPr>
      <w:r>
        <w:rPr>
          <w:b/>
          <w:sz w:val="22"/>
        </w:rPr>
        <w:t>60 km/h = 1 km/min; nominal route cell length = 1 km</w:t>
      </w:r>
    </w:p>
    <w:p>
      <w:pPr>
        <w:jc w:val="center"/>
      </w:pPr>
      <w:r>
        <w:rPr>
          <w:b/>
          <w:sz w:val="22"/>
        </w:rPr>
        <w:t>Estimated boundary crossings = 1 km/min ÷ 1 km per cell ≈ 1 handoff/min</w:t>
      </w:r>
    </w:p>
    <w:p>
      <w:r>
        <w:t>Interpreting the stated 1 km cell length as the distance travelled between successive cell boundaries along the route, a continuously moving user would experience approximately one hard handoff per minute. This is a simplified route estimate; actual crossings depend on cell shape, route geometry, speed changes, coverage overlap and network configuration.</w:t>
      </w:r>
    </w:p>
    <w:p>
      <w:pPr>
        <w:pStyle w:val="Heading2"/>
      </w:pPr>
      <w:r>
        <w:t>5.3 Hard, soft and softer handoff</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2F3"/>
          </w:tcPr>
          <w:p>
            <w:pPr>
              <w:spacing w:after="20"/>
            </w:pPr>
            <w:r/>
            <w:r>
              <w:rPr>
                <w:rFonts w:ascii="Times New Roman" w:hAnsi="Times New Roman" w:eastAsia="Times New Roman"/>
                <w:b/>
                <w:sz w:val="18"/>
              </w:rPr>
              <w:t>Handoff type</w:t>
            </w:r>
          </w:p>
        </w:tc>
        <w:tc>
          <w:tcPr>
            <w:tcW w:type="dxa" w:w="3264"/>
            <w:vAlign w:val="center"/>
            <w:shd w:fill="D9E2F3"/>
          </w:tcPr>
          <w:p>
            <w:pPr>
              <w:spacing w:after="20"/>
            </w:pPr>
            <w:r/>
            <w:r>
              <w:rPr>
                <w:rFonts w:ascii="Times New Roman" w:hAnsi="Times New Roman" w:eastAsia="Times New Roman"/>
                <w:b/>
                <w:sz w:val="18"/>
              </w:rPr>
              <w:t>Connection behavior</w:t>
            </w:r>
          </w:p>
        </w:tc>
        <w:tc>
          <w:tcPr>
            <w:tcW w:type="dxa" w:w="3264"/>
            <w:vAlign w:val="center"/>
            <w:shd w:fill="D9E2F3"/>
          </w:tcPr>
          <w:p>
            <w:pPr>
              <w:spacing w:after="20"/>
            </w:pPr>
            <w:r/>
            <w:r>
              <w:rPr>
                <w:rFonts w:ascii="Times New Roman" w:hAnsi="Times New Roman" w:eastAsia="Times New Roman"/>
                <w:b/>
                <w:sz w:val="18"/>
              </w:rPr>
              <w:t>Resource implications</w:t>
            </w:r>
          </w:p>
        </w:tc>
      </w:tr>
      <w:tr>
        <w:tc>
          <w:tcPr>
            <w:tcW w:type="dxa" w:w="3264"/>
            <w:vAlign w:val="center"/>
          </w:tcPr>
          <w:p>
            <w:pPr>
              <w:spacing w:after="20"/>
            </w:pPr>
            <w:r/>
            <w:r>
              <w:rPr>
                <w:rFonts w:ascii="Times New Roman" w:hAnsi="Times New Roman" w:eastAsia="Times New Roman"/>
                <w:b w:val="0"/>
                <w:sz w:val="18"/>
              </w:rPr>
              <w:t>Hard handoff</w:t>
            </w:r>
          </w:p>
        </w:tc>
        <w:tc>
          <w:tcPr>
            <w:tcW w:type="dxa" w:w="3264"/>
            <w:vAlign w:val="center"/>
          </w:tcPr>
          <w:p>
            <w:pPr>
              <w:spacing w:after="20"/>
            </w:pPr>
            <w:r/>
            <w:r>
              <w:rPr>
                <w:rFonts w:ascii="Times New Roman" w:hAnsi="Times New Roman" w:eastAsia="Times New Roman"/>
                <w:b w:val="0"/>
                <w:sz w:val="18"/>
              </w:rPr>
              <w:t>Break-before-make: the old radio link is released before or as the new link is established. A short interruption may occur.</w:t>
            </w:r>
          </w:p>
        </w:tc>
        <w:tc>
          <w:tcPr>
            <w:tcW w:type="dxa" w:w="3264"/>
            <w:vAlign w:val="center"/>
          </w:tcPr>
          <w:p>
            <w:pPr>
              <w:spacing w:after="20"/>
            </w:pPr>
            <w:r/>
            <w:r>
              <w:rPr>
                <w:rFonts w:ascii="Times New Roman" w:hAnsi="Times New Roman" w:eastAsia="Times New Roman"/>
                <w:b w:val="0"/>
                <w:sz w:val="18"/>
              </w:rPr>
              <w:t>Usually uses fewer simultaneous radio links, but a failed transition can interrupt service.</w:t>
            </w:r>
          </w:p>
        </w:tc>
      </w:tr>
      <w:tr>
        <w:tc>
          <w:tcPr>
            <w:tcW w:type="dxa" w:w="3264"/>
            <w:vAlign w:val="center"/>
          </w:tcPr>
          <w:p>
            <w:pPr>
              <w:spacing w:after="20"/>
            </w:pPr>
            <w:r/>
            <w:r>
              <w:rPr>
                <w:rFonts w:ascii="Times New Roman" w:hAnsi="Times New Roman" w:eastAsia="Times New Roman"/>
                <w:b w:val="0"/>
                <w:sz w:val="18"/>
              </w:rPr>
              <w:t>Soft handoff</w:t>
            </w:r>
          </w:p>
        </w:tc>
        <w:tc>
          <w:tcPr>
            <w:tcW w:type="dxa" w:w="3264"/>
            <w:vAlign w:val="center"/>
          </w:tcPr>
          <w:p>
            <w:pPr>
              <w:spacing w:after="20"/>
            </w:pPr>
            <w:r/>
            <w:r>
              <w:rPr>
                <w:rFonts w:ascii="Times New Roman" w:hAnsi="Times New Roman" w:eastAsia="Times New Roman"/>
                <w:b w:val="0"/>
                <w:sz w:val="18"/>
              </w:rPr>
              <w:t>Make-before-break, commonly associated with CDMA systems; a mobile can maintain links with multiple base stations during transition.</w:t>
            </w:r>
          </w:p>
        </w:tc>
        <w:tc>
          <w:tcPr>
            <w:tcW w:type="dxa" w:w="3264"/>
            <w:vAlign w:val="center"/>
          </w:tcPr>
          <w:p>
            <w:pPr>
              <w:spacing w:after="20"/>
            </w:pPr>
            <w:r/>
            <w:r>
              <w:rPr>
                <w:rFonts w:ascii="Times New Roman" w:hAnsi="Times New Roman" w:eastAsia="Times New Roman"/>
                <w:b w:val="0"/>
                <w:sz w:val="18"/>
              </w:rPr>
              <w:t>Improves continuity and can provide diversity, but consumes resources in multiple cells and requires coordination.</w:t>
            </w:r>
          </w:p>
        </w:tc>
      </w:tr>
      <w:tr>
        <w:tc>
          <w:tcPr>
            <w:tcW w:type="dxa" w:w="3264"/>
            <w:vAlign w:val="center"/>
          </w:tcPr>
          <w:p>
            <w:pPr>
              <w:spacing w:after="20"/>
            </w:pPr>
            <w:r/>
            <w:r>
              <w:rPr>
                <w:rFonts w:ascii="Times New Roman" w:hAnsi="Times New Roman" w:eastAsia="Times New Roman"/>
                <w:b w:val="0"/>
                <w:sz w:val="18"/>
              </w:rPr>
              <w:t>Softer handoff</w:t>
            </w:r>
          </w:p>
        </w:tc>
        <w:tc>
          <w:tcPr>
            <w:tcW w:type="dxa" w:w="3264"/>
            <w:vAlign w:val="center"/>
          </w:tcPr>
          <w:p>
            <w:pPr>
              <w:spacing w:after="20"/>
            </w:pPr>
            <w:r/>
            <w:r>
              <w:rPr>
                <w:rFonts w:ascii="Times New Roman" w:hAnsi="Times New Roman" w:eastAsia="Times New Roman"/>
                <w:b w:val="0"/>
                <w:sz w:val="18"/>
              </w:rPr>
              <w:t>Transition between sectors of the same base station, with combining/coordination across sectors where supported.</w:t>
            </w:r>
          </w:p>
        </w:tc>
        <w:tc>
          <w:tcPr>
            <w:tcW w:type="dxa" w:w="3264"/>
            <w:vAlign w:val="center"/>
          </w:tcPr>
          <w:p>
            <w:pPr>
              <w:spacing w:after="20"/>
            </w:pPr>
            <w:r/>
            <w:r>
              <w:rPr>
                <w:rFonts w:ascii="Times New Roman" w:hAnsi="Times New Roman" w:eastAsia="Times New Roman"/>
                <w:b w:val="0"/>
                <w:sz w:val="18"/>
              </w:rPr>
              <w:t>Can improve continuity within a site, but uses additional sector resources and depends on the radio architecture.</w:t>
            </w:r>
          </w:p>
        </w:tc>
      </w:tr>
    </w:tbl>
    <w:p/>
    <w:p>
      <w:pPr>
        <w:pStyle w:val="Heading2"/>
      </w:pPr>
      <w:r>
        <w:t>5.4 Simple call-drop risk estimate</w:t>
      </w:r>
    </w:p>
    <w:p>
      <w:r>
        <w:t>The target cell is stated to be unavailable 1% of the time. If a handoff attempt occurs at a random time and target-cell unavailability is independent of other conditions, a simple first-order estimate is a 1% chance that the target is unavailable at that instant. This is not a full call-drop probability because real handoff success also depends on signal strength, interference, admission control, timing, backhaul and neighbouring-cell alternatives.</w:t>
      </w:r>
    </w:p>
    <w:p>
      <w:pPr>
        <w:jc w:val="center"/>
      </w:pPr>
      <w:r>
        <w:rPr>
          <w:b/>
          <w:sz w:val="22"/>
        </w:rPr>
        <w:t>Handoff interruption / overlap dwell = 0.5 s / 6 s ≈ 8.33%</w:t>
      </w:r>
    </w:p>
    <w:p>
      <w:r>
        <w:t>The 0.5-second interruption is about 8.33% of the six-second overlap interval. This ratio describes the scale of the interruption relative to the overlap time; it should not be misinterpreted as an 8.33% call-drop probability. A drop-risk model would need distributions of outage duration, handoff timing, signal quality and the time required to recover.</w:t>
      </w:r>
    </w:p>
    <w:p>
      <w:r>
        <w:t>For the operator, the practical objective is to ensure that overlap and handoff preparation provide sufficient margin, while avoiding excessive overlap that causes unnecessary interference. Drive tests and call traces should verify handoff latency and drop rates under representative speeds and loads.</w:t>
      </w:r>
    </w:p>
    <w:p>
      <w:pPr>
        <w:pStyle w:val="Heading1"/>
      </w:pPr>
      <w:r>
        <w:t>6. Interference and SINR Calculations</w:t>
      </w:r>
    </w:p>
    <w:p>
      <w:pPr>
        <w:pStyle w:val="Heading2"/>
      </w:pPr>
      <w:r>
        <w:t>6.1 Carrier-to-interference ratio for co-channel interference</w:t>
      </w:r>
    </w:p>
    <w:p>
      <w:r>
        <w:t>For the desired signal S = −70 dBm and co-channel interferer I₁ = −85 dBm, the carrier-to-interference ratio in decibels is the difference between their dBm values.</w:t>
      </w:r>
    </w:p>
    <w:p>
      <w:pPr>
        <w:jc w:val="center"/>
      </w:pPr>
      <w:r>
        <w:rPr>
          <w:b/>
          <w:sz w:val="22"/>
        </w:rPr>
        <w:t>C/I₁ = S − I₁ = (−70) − (−85) = 15 dB</w:t>
      </w:r>
    </w:p>
    <w:p>
      <w:r>
        <w:t>The co-channel-only C/I is 15 dB. This equals the stated minimum SINR target numerically, but C/I is not the same as SINR when other interference or noise is included.</w:t>
      </w:r>
    </w:p>
    <w:p>
      <w:pPr>
        <w:pStyle w:val="Heading2"/>
      </w:pPr>
      <w:r>
        <w:t>6.2 Combine co-channel and adjacent-channel interference</w:t>
      </w:r>
    </w:p>
    <w:p>
      <w:r>
        <w:t>Interference powers expressed in dBm must not be added directly. Convert each to a linear power ratio, sum the linear values, then convert the total back to dBm. Using mW as the power reference:</w:t>
      </w:r>
    </w:p>
    <w:p>
      <w:pPr>
        <w:jc w:val="center"/>
      </w:pPr>
      <w:r>
        <w:rPr>
          <w:b/>
          <w:sz w:val="22"/>
        </w:rPr>
        <w:t>I₁ = 10^(−85/10) mW ≈ 3.1623 × 10⁻⁹ mW</w:t>
      </w:r>
    </w:p>
    <w:p>
      <w:pPr>
        <w:jc w:val="center"/>
      </w:pPr>
      <w:r>
        <w:rPr>
          <w:b/>
          <w:sz w:val="22"/>
        </w:rPr>
        <w:t>I₂ = 10^(−90/10) mW = 1.0000 × 10⁻⁹ mW</w:t>
      </w:r>
    </w:p>
    <w:p>
      <w:pPr>
        <w:jc w:val="center"/>
      </w:pPr>
      <w:r>
        <w:rPr>
          <w:b/>
          <w:sz w:val="22"/>
        </w:rPr>
        <w:t>I_total = I₁ + I₂ ≈ 4.1623 × 10⁻⁹ mW</w:t>
      </w:r>
    </w:p>
    <w:p>
      <w:pPr>
        <w:jc w:val="center"/>
      </w:pPr>
      <w:r>
        <w:rPr>
          <w:b/>
          <w:sz w:val="22"/>
        </w:rPr>
        <w:t>I_total(dBm) = 10 log₁₀(I_total in mW) ≈ −83.81 dBm</w:t>
      </w:r>
    </w:p>
    <w:p>
      <w:r>
        <w:t>The combined interference is approximately −83.81 dBm.</w:t>
      </w:r>
    </w:p>
    <w:p>
      <w:pPr>
        <w:pStyle w:val="Heading2"/>
      </w:pPr>
      <w:r>
        <w:t>6.3 SINR and target decision</w:t>
      </w:r>
    </w:p>
    <w:p>
      <w:r>
        <w:t>Noise power is not separately supplied, so this calculation treats the combined co-channel and adjacent-channel interference as the denominator and neglects thermal noise. Under that stated assumption:</w:t>
      </w:r>
    </w:p>
    <w:p>
      <w:pPr>
        <w:jc w:val="center"/>
      </w:pPr>
      <w:r>
        <w:rPr>
          <w:b/>
          <w:sz w:val="22"/>
        </w:rPr>
        <w:t>SINR ≈ S − I_total = (−70) − (−83.81) = 13.81 dB</w:t>
      </w:r>
    </w:p>
    <w:p>
      <w:r>
        <w:t>The estimated SINR is 13.81 dB, which is below the 15 dB target by approximately 1.19 dB. The co-channel-only case reaches 15 dB, but adding adjacent-channel interference lowers the result. Since thermal noise and any other interferers are excluded, the actual operational SINR may be lower.</w:t>
      </w:r>
    </w:p>
    <w:p>
      <w:pPr>
        <w:pStyle w:val="Heading2"/>
      </w:pPr>
      <w:r>
        <w:t>6.4 Mitigation recommendation</w:t>
      </w:r>
    </w:p>
    <w:p>
      <w:r>
        <w:t>A suitable first mitigation is to improve antenna-sector planning and adjust antenna tilt or transmit power to reduce unwanted co-channel coupling while preserving the desired coverage. Where supported by the deployed system, beamforming and scheduling can further concentrate energy toward the intended user. Adjacent-channel leakage should also be controlled through appropriate filtering and frequency planning.</w:t>
      </w:r>
    </w:p>
    <w:p>
      <w:r>
        <w:t>The trade-off is that aggressive power reduction or narrower beams can create coverage holes or increase handoff sensitivity. Sector changes may move interference to other locations, and beamforming performance depends on channel estimates and antenna hardware. The operator should remeasure SINR after each controlled change and verify both coverage and interference at cell edges.</w:t>
      </w:r>
    </w:p>
    <w:p>
      <w:pPr>
        <w:pStyle w:val="Heading1"/>
      </w:pPr>
      <w:r>
        <w:t>7. Spectrum-Band Comparison at 100 m</w:t>
      </w:r>
    </w:p>
    <w:p>
      <w:pPr>
        <w:pStyle w:val="Heading2"/>
      </w:pPr>
      <w:r>
        <w:t>7.1 Wavelength and free-space path loss</w:t>
      </w:r>
    </w:p>
    <w:p>
      <w:r>
        <w:t>Wavelength is λ = c/f. Free-space path loss is calculated using FSPL(dB) = 20 log₁₀(4πd/λ), with distance d = 100 m and c = 3 × 10⁸ m/s.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2F3"/>
          </w:tcPr>
          <w:p>
            <w:pPr>
              <w:spacing w:after="20"/>
            </w:pPr>
            <w:r/>
            <w:r>
              <w:rPr>
                <w:rFonts w:ascii="Times New Roman" w:hAnsi="Times New Roman" w:eastAsia="Times New Roman"/>
                <w:b/>
                <w:sz w:val="19"/>
              </w:rPr>
              <w:t>Frequency</w:t>
            </w:r>
          </w:p>
        </w:tc>
        <w:tc>
          <w:tcPr>
            <w:tcW w:type="dxa" w:w="2448"/>
            <w:vAlign w:val="center"/>
            <w:shd w:fill="D9E2F3"/>
          </w:tcPr>
          <w:p>
            <w:pPr>
              <w:spacing w:after="20"/>
            </w:pPr>
            <w:r/>
            <w:r>
              <w:rPr>
                <w:rFonts w:ascii="Times New Roman" w:hAnsi="Times New Roman" w:eastAsia="Times New Roman"/>
                <w:b/>
                <w:sz w:val="19"/>
              </w:rPr>
              <w:t>Wavelength λ</w:t>
            </w:r>
          </w:p>
        </w:tc>
        <w:tc>
          <w:tcPr>
            <w:tcW w:type="dxa" w:w="2448"/>
            <w:vAlign w:val="center"/>
            <w:shd w:fill="D9E2F3"/>
          </w:tcPr>
          <w:p>
            <w:pPr>
              <w:spacing w:after="20"/>
            </w:pPr>
            <w:r/>
            <w:r>
              <w:rPr>
                <w:rFonts w:ascii="Times New Roman" w:hAnsi="Times New Roman" w:eastAsia="Times New Roman"/>
                <w:b/>
                <w:sz w:val="19"/>
              </w:rPr>
              <w:t>FSPL at 100 m</w:t>
            </w:r>
          </w:p>
        </w:tc>
        <w:tc>
          <w:tcPr>
            <w:tcW w:type="dxa" w:w="2448"/>
            <w:vAlign w:val="center"/>
            <w:shd w:fill="D9E2F3"/>
          </w:tcPr>
          <w:p>
            <w:pPr>
              <w:spacing w:after="20"/>
            </w:pPr>
            <w:r/>
            <w:r>
              <w:rPr>
                <w:rFonts w:ascii="Times New Roman" w:hAnsi="Times New Roman" w:eastAsia="Times New Roman"/>
                <w:b/>
                <w:sz w:val="19"/>
              </w:rPr>
              <w:t>Difference vs 900 MHz</w:t>
            </w:r>
          </w:p>
        </w:tc>
      </w:tr>
      <w:tr>
        <w:tc>
          <w:tcPr>
            <w:tcW w:type="dxa" w:w="2448"/>
            <w:vAlign w:val="center"/>
          </w:tcPr>
          <w:p>
            <w:pPr>
              <w:spacing w:after="20"/>
            </w:pPr>
            <w:r/>
            <w:r>
              <w:rPr>
                <w:rFonts w:ascii="Times New Roman" w:hAnsi="Times New Roman" w:eastAsia="Times New Roman"/>
                <w:b w:val="0"/>
                <w:sz w:val="19"/>
              </w:rPr>
              <w:t>900 MHz</w:t>
            </w:r>
          </w:p>
        </w:tc>
        <w:tc>
          <w:tcPr>
            <w:tcW w:type="dxa" w:w="2448"/>
            <w:vAlign w:val="center"/>
          </w:tcPr>
          <w:p>
            <w:pPr>
              <w:spacing w:after="20"/>
            </w:pPr>
            <w:r/>
            <w:r>
              <w:rPr>
                <w:rFonts w:ascii="Times New Roman" w:hAnsi="Times New Roman" w:eastAsia="Times New Roman"/>
                <w:b w:val="0"/>
                <w:sz w:val="19"/>
              </w:rPr>
              <w:t>0.33333 m</w:t>
            </w:r>
          </w:p>
        </w:tc>
        <w:tc>
          <w:tcPr>
            <w:tcW w:type="dxa" w:w="2448"/>
            <w:vAlign w:val="center"/>
          </w:tcPr>
          <w:p>
            <w:pPr>
              <w:spacing w:after="20"/>
            </w:pPr>
            <w:r/>
            <w:r>
              <w:rPr>
                <w:rFonts w:ascii="Times New Roman" w:hAnsi="Times New Roman" w:eastAsia="Times New Roman"/>
                <w:b w:val="0"/>
                <w:sz w:val="19"/>
              </w:rPr>
              <w:t>71.53 dB</w:t>
            </w:r>
          </w:p>
        </w:tc>
        <w:tc>
          <w:tcPr>
            <w:tcW w:type="dxa" w:w="2448"/>
            <w:vAlign w:val="center"/>
          </w:tcPr>
          <w:p>
            <w:pPr>
              <w:spacing w:after="20"/>
            </w:pPr>
            <w:r/>
            <w:r>
              <w:rPr>
                <w:rFonts w:ascii="Times New Roman" w:hAnsi="Times New Roman" w:eastAsia="Times New Roman"/>
                <w:b w:val="0"/>
                <w:sz w:val="19"/>
              </w:rPr>
              <w:t>0.00 dB</w:t>
            </w:r>
          </w:p>
        </w:tc>
      </w:tr>
      <w:tr>
        <w:tc>
          <w:tcPr>
            <w:tcW w:type="dxa" w:w="2448"/>
            <w:vAlign w:val="center"/>
          </w:tcPr>
          <w:p>
            <w:pPr>
              <w:spacing w:after="20"/>
            </w:pPr>
            <w:r/>
            <w:r>
              <w:rPr>
                <w:rFonts w:ascii="Times New Roman" w:hAnsi="Times New Roman" w:eastAsia="Times New Roman"/>
                <w:b w:val="0"/>
                <w:sz w:val="19"/>
              </w:rPr>
              <w:t>3.5 GHz</w:t>
            </w:r>
          </w:p>
        </w:tc>
        <w:tc>
          <w:tcPr>
            <w:tcW w:type="dxa" w:w="2448"/>
            <w:vAlign w:val="center"/>
          </w:tcPr>
          <w:p>
            <w:pPr>
              <w:spacing w:after="20"/>
            </w:pPr>
            <w:r/>
            <w:r>
              <w:rPr>
                <w:rFonts w:ascii="Times New Roman" w:hAnsi="Times New Roman" w:eastAsia="Times New Roman"/>
                <w:b w:val="0"/>
                <w:sz w:val="19"/>
              </w:rPr>
              <w:t>0.08571 m</w:t>
            </w:r>
          </w:p>
        </w:tc>
        <w:tc>
          <w:tcPr>
            <w:tcW w:type="dxa" w:w="2448"/>
            <w:vAlign w:val="center"/>
          </w:tcPr>
          <w:p>
            <w:pPr>
              <w:spacing w:after="20"/>
            </w:pPr>
            <w:r/>
            <w:r>
              <w:rPr>
                <w:rFonts w:ascii="Times New Roman" w:hAnsi="Times New Roman" w:eastAsia="Times New Roman"/>
                <w:b w:val="0"/>
                <w:sz w:val="19"/>
              </w:rPr>
              <w:t>83.32 dB</w:t>
            </w:r>
          </w:p>
        </w:tc>
        <w:tc>
          <w:tcPr>
            <w:tcW w:type="dxa" w:w="2448"/>
            <w:vAlign w:val="center"/>
          </w:tcPr>
          <w:p>
            <w:pPr>
              <w:spacing w:after="20"/>
            </w:pPr>
            <w:r/>
            <w:r>
              <w:rPr>
                <w:rFonts w:ascii="Times New Roman" w:hAnsi="Times New Roman" w:eastAsia="Times New Roman"/>
                <w:b w:val="0"/>
                <w:sz w:val="19"/>
              </w:rPr>
              <w:t>11.80 dB</w:t>
            </w:r>
          </w:p>
        </w:tc>
      </w:tr>
      <w:tr>
        <w:tc>
          <w:tcPr>
            <w:tcW w:type="dxa" w:w="2448"/>
            <w:vAlign w:val="center"/>
          </w:tcPr>
          <w:p>
            <w:pPr>
              <w:spacing w:after="20"/>
            </w:pPr>
            <w:r/>
            <w:r>
              <w:rPr>
                <w:rFonts w:ascii="Times New Roman" w:hAnsi="Times New Roman" w:eastAsia="Times New Roman"/>
                <w:b w:val="0"/>
                <w:sz w:val="19"/>
              </w:rPr>
              <w:t>28 GHz</w:t>
            </w:r>
          </w:p>
        </w:tc>
        <w:tc>
          <w:tcPr>
            <w:tcW w:type="dxa" w:w="2448"/>
            <w:vAlign w:val="center"/>
          </w:tcPr>
          <w:p>
            <w:pPr>
              <w:spacing w:after="20"/>
            </w:pPr>
            <w:r/>
            <w:r>
              <w:rPr>
                <w:rFonts w:ascii="Times New Roman" w:hAnsi="Times New Roman" w:eastAsia="Times New Roman"/>
                <w:b w:val="0"/>
                <w:sz w:val="19"/>
              </w:rPr>
              <w:t>0.01071 m</w:t>
            </w:r>
          </w:p>
        </w:tc>
        <w:tc>
          <w:tcPr>
            <w:tcW w:type="dxa" w:w="2448"/>
            <w:vAlign w:val="center"/>
          </w:tcPr>
          <w:p>
            <w:pPr>
              <w:spacing w:after="20"/>
            </w:pPr>
            <w:r/>
            <w:r>
              <w:rPr>
                <w:rFonts w:ascii="Times New Roman" w:hAnsi="Times New Roman" w:eastAsia="Times New Roman"/>
                <w:b w:val="0"/>
                <w:sz w:val="19"/>
              </w:rPr>
              <w:t>101.38 dB</w:t>
            </w:r>
          </w:p>
        </w:tc>
        <w:tc>
          <w:tcPr>
            <w:tcW w:type="dxa" w:w="2448"/>
            <w:vAlign w:val="center"/>
          </w:tcPr>
          <w:p>
            <w:pPr>
              <w:spacing w:after="20"/>
            </w:pPr>
            <w:r/>
            <w:r>
              <w:rPr>
                <w:rFonts w:ascii="Times New Roman" w:hAnsi="Times New Roman" w:eastAsia="Times New Roman"/>
                <w:b w:val="0"/>
                <w:sz w:val="19"/>
              </w:rPr>
              <w:t>29.86 dB</w:t>
            </w:r>
          </w:p>
        </w:tc>
      </w:tr>
    </w:tbl>
    <w:p/>
    <w:p>
      <w:r>
        <w:t>At 900 MHz, wavelength is about 0.333 m and free-space path loss is 71.53 dB. At 3.5 GHz, wavelength is about 0.0857 m and path loss is 83.32 dB, approximately 11.80 dB above 900 MHz. At 28 GHz, wavelength is about 0.0107 m and path loss is 101.38 dB, approximately 29.86 dB above 900 MHz.</w:t>
      </w:r>
    </w:p>
    <w:p>
      <w:pPr>
        <w:pStyle w:val="Heading2"/>
      </w:pPr>
      <w:r>
        <w:t>7.2 Deployment implications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2F3"/>
          </w:tcPr>
          <w:p>
            <w:pPr>
              <w:spacing w:after="20"/>
            </w:pPr>
            <w:r/>
            <w:r>
              <w:rPr>
                <w:rFonts w:ascii="Times New Roman" w:hAnsi="Times New Roman" w:eastAsia="Times New Roman"/>
                <w:b/>
                <w:sz w:val="17"/>
              </w:rPr>
              <w:t>Band</w:t>
            </w:r>
          </w:p>
        </w:tc>
        <w:tc>
          <w:tcPr>
            <w:tcW w:type="dxa" w:w="2448"/>
            <w:vAlign w:val="center"/>
            <w:shd w:fill="D9E2F3"/>
          </w:tcPr>
          <w:p>
            <w:pPr>
              <w:spacing w:after="20"/>
            </w:pPr>
            <w:r/>
            <w:r>
              <w:rPr>
                <w:rFonts w:ascii="Times New Roman" w:hAnsi="Times New Roman" w:eastAsia="Times New Roman"/>
                <w:b/>
                <w:sz w:val="17"/>
              </w:rPr>
              <w:t>Likely propagation / penetration</w:t>
            </w:r>
          </w:p>
        </w:tc>
        <w:tc>
          <w:tcPr>
            <w:tcW w:type="dxa" w:w="2448"/>
            <w:vAlign w:val="center"/>
            <w:shd w:fill="D9E2F3"/>
          </w:tcPr>
          <w:p>
            <w:pPr>
              <w:spacing w:after="20"/>
            </w:pPr>
            <w:r/>
            <w:r>
              <w:rPr>
                <w:rFonts w:ascii="Times New Roman" w:hAnsi="Times New Roman" w:eastAsia="Times New Roman"/>
                <w:b/>
                <w:sz w:val="17"/>
              </w:rPr>
              <w:t>Antenna and coverage implications</w:t>
            </w:r>
          </w:p>
        </w:tc>
        <w:tc>
          <w:tcPr>
            <w:tcW w:type="dxa" w:w="2448"/>
            <w:vAlign w:val="center"/>
            <w:shd w:fill="D9E2F3"/>
          </w:tcPr>
          <w:p>
            <w:pPr>
              <w:spacing w:after="20"/>
            </w:pPr>
            <w:r/>
            <w:r>
              <w:rPr>
                <w:rFonts w:ascii="Times New Roman" w:hAnsi="Times New Roman" w:eastAsia="Times New Roman"/>
                <w:b/>
                <w:sz w:val="17"/>
              </w:rPr>
              <w:t>Capacity implications</w:t>
            </w:r>
          </w:p>
        </w:tc>
      </w:tr>
      <w:tr>
        <w:tc>
          <w:tcPr>
            <w:tcW w:type="dxa" w:w="2448"/>
            <w:vAlign w:val="center"/>
          </w:tcPr>
          <w:p>
            <w:pPr>
              <w:spacing w:after="20"/>
            </w:pPr>
            <w:r/>
            <w:r>
              <w:rPr>
                <w:rFonts w:ascii="Times New Roman" w:hAnsi="Times New Roman" w:eastAsia="Times New Roman"/>
                <w:b w:val="0"/>
                <w:sz w:val="17"/>
              </w:rPr>
              <w:t>900 MHz</w:t>
            </w:r>
          </w:p>
        </w:tc>
        <w:tc>
          <w:tcPr>
            <w:tcW w:type="dxa" w:w="2448"/>
            <w:vAlign w:val="center"/>
          </w:tcPr>
          <w:p>
            <w:pPr>
              <w:spacing w:after="20"/>
            </w:pPr>
            <w:r/>
            <w:r>
              <w:rPr>
                <w:rFonts w:ascii="Times New Roman" w:hAnsi="Times New Roman" w:eastAsia="Times New Roman"/>
                <w:b w:val="0"/>
                <w:sz w:val="17"/>
              </w:rPr>
              <w:t>Generally better diffraction and building penetration than higher bands; broad-area coverage is more practical.</w:t>
            </w:r>
          </w:p>
        </w:tc>
        <w:tc>
          <w:tcPr>
            <w:tcW w:type="dxa" w:w="2448"/>
            <w:vAlign w:val="center"/>
          </w:tcPr>
          <w:p>
            <w:pPr>
              <w:spacing w:after="20"/>
            </w:pPr>
            <w:r/>
            <w:r>
              <w:rPr>
                <w:rFonts w:ascii="Times New Roman" w:hAnsi="Times New Roman" w:eastAsia="Times New Roman"/>
                <w:b w:val="0"/>
                <w:sz w:val="17"/>
              </w:rPr>
              <w:t>Longer wavelength means larger antenna elements for comparable electrical size; useful for macro coverage and mobility.</w:t>
            </w:r>
          </w:p>
        </w:tc>
        <w:tc>
          <w:tcPr>
            <w:tcW w:type="dxa" w:w="2448"/>
            <w:vAlign w:val="center"/>
          </w:tcPr>
          <w:p>
            <w:pPr>
              <w:spacing w:after="20"/>
            </w:pPr>
            <w:r/>
            <w:r>
              <w:rPr>
                <w:rFonts w:ascii="Times New Roman" w:hAnsi="Times New Roman" w:eastAsia="Times New Roman"/>
                <w:b w:val="0"/>
                <w:sz w:val="17"/>
              </w:rPr>
              <w:t>Good coverage efficiency, but bandwidth availability may be more limited.</w:t>
            </w:r>
          </w:p>
        </w:tc>
      </w:tr>
      <w:tr>
        <w:tc>
          <w:tcPr>
            <w:tcW w:type="dxa" w:w="2448"/>
            <w:vAlign w:val="center"/>
          </w:tcPr>
          <w:p>
            <w:pPr>
              <w:spacing w:after="20"/>
            </w:pPr>
            <w:r/>
            <w:r>
              <w:rPr>
                <w:rFonts w:ascii="Times New Roman" w:hAnsi="Times New Roman" w:eastAsia="Times New Roman"/>
                <w:b w:val="0"/>
                <w:sz w:val="17"/>
              </w:rPr>
              <w:t>3.5 GHz</w:t>
            </w:r>
          </w:p>
        </w:tc>
        <w:tc>
          <w:tcPr>
            <w:tcW w:type="dxa" w:w="2448"/>
            <w:vAlign w:val="center"/>
          </w:tcPr>
          <w:p>
            <w:pPr>
              <w:spacing w:after="20"/>
            </w:pPr>
            <w:r/>
            <w:r>
              <w:rPr>
                <w:rFonts w:ascii="Times New Roman" w:hAnsi="Times New Roman" w:eastAsia="Times New Roman"/>
                <w:b w:val="0"/>
                <w:sz w:val="17"/>
              </w:rPr>
              <w:t>More path loss and generally weaker indoor penetration than 900 MHz, though practical results depend on environment.</w:t>
            </w:r>
          </w:p>
        </w:tc>
        <w:tc>
          <w:tcPr>
            <w:tcW w:type="dxa" w:w="2448"/>
            <w:vAlign w:val="center"/>
          </w:tcPr>
          <w:p>
            <w:pPr>
              <w:spacing w:after="20"/>
            </w:pPr>
            <w:r/>
            <w:r>
              <w:rPr>
                <w:rFonts w:ascii="Times New Roman" w:hAnsi="Times New Roman" w:eastAsia="Times New Roman"/>
                <w:b w:val="0"/>
                <w:sz w:val="17"/>
              </w:rPr>
              <w:t>Smaller antenna elements; suitable for macro/mid-band deployment with careful site and antenna planning.</w:t>
            </w:r>
          </w:p>
        </w:tc>
        <w:tc>
          <w:tcPr>
            <w:tcW w:type="dxa" w:w="2448"/>
            <w:vAlign w:val="center"/>
          </w:tcPr>
          <w:p>
            <w:pPr>
              <w:spacing w:after="20"/>
            </w:pPr>
            <w:r/>
            <w:r>
              <w:rPr>
                <w:rFonts w:ascii="Times New Roman" w:hAnsi="Times New Roman" w:eastAsia="Times New Roman"/>
                <w:b w:val="0"/>
                <w:sz w:val="17"/>
              </w:rPr>
              <w:t>Useful compromise between coverage and available bandwidth; supports higher capacity.</w:t>
            </w:r>
          </w:p>
        </w:tc>
      </w:tr>
      <w:tr>
        <w:tc>
          <w:tcPr>
            <w:tcW w:type="dxa" w:w="2448"/>
            <w:vAlign w:val="center"/>
          </w:tcPr>
          <w:p>
            <w:pPr>
              <w:spacing w:after="20"/>
            </w:pPr>
            <w:r/>
            <w:r>
              <w:rPr>
                <w:rFonts w:ascii="Times New Roman" w:hAnsi="Times New Roman" w:eastAsia="Times New Roman"/>
                <w:b w:val="0"/>
                <w:sz w:val="17"/>
              </w:rPr>
              <w:t>28 GHz</w:t>
            </w:r>
          </w:p>
        </w:tc>
        <w:tc>
          <w:tcPr>
            <w:tcW w:type="dxa" w:w="2448"/>
            <w:vAlign w:val="center"/>
          </w:tcPr>
          <w:p>
            <w:pPr>
              <w:spacing w:after="20"/>
            </w:pPr>
            <w:r/>
            <w:r>
              <w:rPr>
                <w:rFonts w:ascii="Times New Roman" w:hAnsi="Times New Roman" w:eastAsia="Times New Roman"/>
                <w:b w:val="0"/>
                <w:sz w:val="17"/>
              </w:rPr>
              <w:t>High free-space loss and sensitivity to blockage; penetration through many building materials is poor.</w:t>
            </w:r>
          </w:p>
        </w:tc>
        <w:tc>
          <w:tcPr>
            <w:tcW w:type="dxa" w:w="2448"/>
            <w:vAlign w:val="center"/>
          </w:tcPr>
          <w:p>
            <w:pPr>
              <w:spacing w:after="20"/>
            </w:pPr>
            <w:r/>
            <w:r>
              <w:rPr>
                <w:rFonts w:ascii="Times New Roman" w:hAnsi="Times New Roman" w:eastAsia="Times New Roman"/>
                <w:b w:val="0"/>
                <w:sz w:val="17"/>
              </w:rPr>
              <w:t>Very small wavelengths enable compact arrays and narrow beams, but dense sites and line-of-sight planning may be needed.</w:t>
            </w:r>
          </w:p>
        </w:tc>
        <w:tc>
          <w:tcPr>
            <w:tcW w:type="dxa" w:w="2448"/>
            <w:vAlign w:val="center"/>
          </w:tcPr>
          <w:p>
            <w:pPr>
              <w:spacing w:after="20"/>
            </w:pPr>
            <w:r/>
            <w:r>
              <w:rPr>
                <w:rFonts w:ascii="Times New Roman" w:hAnsi="Times New Roman" w:eastAsia="Times New Roman"/>
                <w:b w:val="0"/>
                <w:sz w:val="17"/>
              </w:rPr>
              <w:t>Large bandwidth can support very high throughput over short ranges, especially in hotspots.</w:t>
            </w:r>
          </w:p>
        </w:tc>
      </w:tr>
    </w:tbl>
    <w:p/>
    <w:p>
      <w:r>
        <w:t>Higher free-space path loss does not by itself determine achievable network performance. Link budget also depends on transmit power, antenna gain, beamforming gain, receiver noise figure, bandwidth, modulation and coding, blockage, atmospheric effects, interference and deployment density. A high-frequency link may still provide excellent capacity over a short, well-directed path, while a lower-frequency link may provide more robust broad-area coverage.</w:t>
      </w:r>
    </w:p>
    <w:p>
      <w:r>
        <w:t>A sensible regional strategy is to use lower-frequency spectrum for coverage and mobility, mid-band spectrum for the principal capacity layer, and 28 GHz selectively for high-demand hotspots where site density, line of sight and backhaul are suitable.</w:t>
      </w:r>
    </w:p>
    <w:p>
      <w:pPr>
        <w:pStyle w:val="Heading1"/>
      </w:pPr>
      <w:r>
        <w:t>8. International Spectrum Coordination</w:t>
      </w:r>
    </w:p>
    <w:p>
      <w:pPr>
        <w:pStyle w:val="Heading2"/>
      </w:pPr>
      <w:r>
        <w:t>8.1 Roles of ITU-R, WRC and BR</w:t>
      </w:r>
    </w:p>
    <w:p>
      <w:pPr>
        <w:pStyle w:val="ListBullet"/>
        <w:spacing w:after="60"/>
      </w:pPr>
      <w:r>
        <w:t>ITU-R (ITU Radiocommunication Sector) develops technical studies, recommendations and regulatory frameworks that support the efficient and compatible use of radio-frequency spectrum and satellite or terrestrial radiocommunication resources.</w:t>
      </w:r>
    </w:p>
    <w:p>
      <w:pPr>
        <w:pStyle w:val="ListBullet"/>
        <w:spacing w:after="60"/>
      </w:pPr>
      <w:r>
        <w:t>World Radiocommunication Conference (WRC) is the international conference at which administrations review and, where agreed, revise the Radio Regulations, including international frequency allocations and conditions for use.</w:t>
      </w:r>
    </w:p>
    <w:p>
      <w:pPr>
        <w:pStyle w:val="ListBullet"/>
        <w:spacing w:after="60"/>
      </w:pPr>
      <w:r>
        <w:t>Radiocommunication Bureau (BR) supports the work of ITU-R and WRC, processes and records frequency assignments and satellite network filings under the Radio Regulations, and assists administrations with coordination and regulatory procedures.</w:t>
      </w:r>
    </w:p>
    <w:p>
      <w:r>
        <w:t>International coordination affects national regulators because global or regional allocation decisions inform national spectrum tables, licensing and technical conditions. Operators must then design networks within the frequencies, power limits, emission masks and coordination obligations permitted by their national regulator. Harmonised bands can support economies of scale and roaming, while cross-border coordination helps reduce harmful interference between neighbouring countries.</w:t>
      </w:r>
    </w:p>
    <w:p>
      <w:pPr>
        <w:pStyle w:val="Heading2"/>
      </w:pPr>
      <w:r>
        <w:t>8.2 Deployment recommendation</w:t>
      </w:r>
    </w:p>
    <w:p>
      <w:r>
        <w:t>The operator should adopt a phased plan rather than a single-generation replacement:</w:t>
      </w:r>
    </w:p>
    <w:p>
      <w:pPr>
        <w:pStyle w:val="ListBullet"/>
        <w:spacing w:after="60"/>
      </w:pPr>
      <w:r>
        <w:t>Phase 1 – Validate the baseline: collect busy-hour traffic, per-cell blocking, coverage, handoff and SINR measurements. Confirm the 100-channel assumption, the 80-Erlang planning load and the actual frequency assignments.</w:t>
      </w:r>
    </w:p>
    <w:p>
      <w:pPr>
        <w:pStyle w:val="ListBullet"/>
        <w:spacing w:after="60"/>
      </w:pPr>
      <w:r>
        <w:t>Phase 2 – Stabilise macro coverage: retain a low-band coverage layer where licensed spectrum and equipment permit. Use the hexagonal model only as a starting point, then refine sites using terrain, clutter, antenna patterns and drive-test data.</w:t>
      </w:r>
    </w:p>
    <w:p>
      <w:pPr>
        <w:pStyle w:val="ListBullet"/>
        <w:spacing w:after="60"/>
      </w:pPr>
      <w:r>
        <w:t>Phase 3 – Add targeted capacity: introduce sectoring and microcells in measured hotspots, and picocells for persistent indoor demand. The 19-cell geometric cluster is about 197.45 km² and the N = 7 reuse estimate gives a 9.17 km reuse distance, but the final reuse pattern must be validated against actual radio conditions.</w:t>
      </w:r>
    </w:p>
    <w:p>
      <w:pPr>
        <w:pStyle w:val="ListBullet"/>
        <w:spacing w:after="60"/>
      </w:pPr>
      <w:r>
        <w:t>Phase 4 – Improve mobility and interference: the supplied route estimate implies about one cell-boundary handoff per minute at 60 km/h, with 100 m travelled during the overlap interval. Validate the 0.5-second interruption and target availability with field measurements. The calculated combined interference gives 13.81 dB SINR, below the 15 dB target, so antenna optimisation, power control, filtering and supported beamforming should be tested.</w:t>
      </w:r>
    </w:p>
    <w:p>
      <w:pPr>
        <w:pStyle w:val="ListBullet"/>
        <w:spacing w:after="60"/>
      </w:pPr>
      <w:r>
        <w:t>Phase 5 – Deploy spectrum by use case: use 900 MHz for broad coverage where available, 3.5 GHz for the main capacity layer, and 28 GHz selectively for high-throughput hotspots. Consider 6G-related technologies as a research and standards-monitoring activity rather than assuming the vision is ready for immediate commercial deployment.</w:t>
      </w:r>
    </w:p>
    <w:p>
      <w:r>
        <w:t>The traffic calculation shows that 100 channels give approximately 0.40% blocking at 80 Erlangs, meeting the 2% requirement; 92 channels are the calculated minimum under Erlang B assumptions. These values should not be used alone to size sites because real deployments require per-cell traffic distribution, spectrum reuse, signalling overhead, handoff reserves, and future growth forecasts.</w:t>
      </w:r>
    </w:p>
    <w:p>
      <w:pPr>
        <w:pStyle w:val="Heading2"/>
      </w:pPr>
      <w:r>
        <w:t>8.3 Assumptions and uncertainties to verify</w:t>
      </w:r>
    </w:p>
    <w:p>
      <w:pPr>
        <w:pStyle w:val="ListBullet"/>
        <w:spacing w:after="60"/>
      </w:pPr>
      <w:r>
        <w:t>Confirm whether 0.08 Erlang per subscriber represents measured busy-hour offered traffic and whether all 1,000 subscribers are distributed uniformly.</w:t>
      </w:r>
    </w:p>
    <w:p>
      <w:pPr>
        <w:pStyle w:val="ListBullet"/>
        <w:spacing w:after="60"/>
      </w:pPr>
      <w:r>
        <w:t>Confirm the definition of cell radius and the interpretation of the 1 km route cell length.</w:t>
      </w:r>
    </w:p>
    <w:p>
      <w:pPr>
        <w:pStyle w:val="ListBullet"/>
        <w:spacing w:after="60"/>
      </w:pPr>
      <w:r>
        <w:t>Check the real channel/resource model, guard bands, duplexing, control channels and frequency allocations for the selected technology.</w:t>
      </w:r>
    </w:p>
    <w:p>
      <w:pPr>
        <w:pStyle w:val="ListBullet"/>
        <w:spacing w:after="60"/>
      </w:pPr>
      <w:r>
        <w:t>Measure interference and SINR with thermal noise, multiple interferers, fading, antenna patterns and actual traffic loading included.</w:t>
      </w:r>
    </w:p>
    <w:p>
      <w:pPr>
        <w:pStyle w:val="ListBullet"/>
        <w:spacing w:after="60"/>
      </w:pPr>
      <w:r>
        <w:t>Validate target-cell unavailability, handoff interruption, call-drop rate and mobility behavior using field trials.</w:t>
      </w:r>
    </w:p>
    <w:p>
      <w:pPr>
        <w:pStyle w:val="ListBullet"/>
        <w:spacing w:after="60"/>
      </w:pPr>
      <w:r>
        <w:t>Confirm national licensing, band availability, emission limits, coordination requirements and the commercial readiness of each technology.</w:t>
      </w:r>
    </w:p>
    <w:p>
      <w:pPr>
        <w:pStyle w:val="Heading1"/>
      </w:pPr>
      <w:r>
        <w:t>9. Conclusion</w:t>
      </w:r>
    </w:p>
    <w:p>
      <w:r>
        <w:t>The analysis links mobile-generation evolution with practical radio planning. The idealised 800 MHz wavelength is 0.375 m and the simple 10 MHz/30 kHz division gives approximately 333 channel-width units before practical spectrum constraints. A hexagonal cell of radius 2 km has an area of about 10.39 km², while the 19-cell cluster covers approximately 197.45 km². For N = 7, the reuse fraction is 14.29% and the estimated reuse distance is 9.17 km.</w:t>
      </w:r>
    </w:p>
    <w:p>
      <w:r>
        <w:t>The busy-hour offered traffic is 80 Erlangs. Erlang B gives approximately 0.40% blocking for 100 channels, and 92 channels is the minimum that meets the 2% blocking target under the stated model. At 60 km/h, the mobile travels 100 m during the six-second overlap and crosses an assumed 1 km route cell approximately once per minute. The interference calculation produces a combined interference level of −83.81 dBm and an estimated SINR of 13.81 dB, below the 15 dB target.</w:t>
      </w:r>
    </w:p>
    <w:p>
      <w:r>
        <w:t>The spectrum comparison shows increasing free-space path loss from 900 MHz to 3.5 GHz and 28 GHz, balanced by smaller antenna elements and the potential for greater bandwidth at higher frequencies. The recommended approach is to preserve broad coverage, expand capacity selectively, measure and optimise interference and handoff performance, and deploy each spectrum band according to its propagation and capacity role. Before implementation, the operator should validate all key assumptions with measured traffic, radio surveys, national spectrum rules and field trials.</w:t>
      </w:r>
    </w:p>
    <w:p>
      <w:pPr>
        <w:pStyle w:val="Heading1"/>
      </w:pPr>
      <w:r>
        <w:t>10. Technical References</w:t>
      </w:r>
    </w:p>
    <w:p>
      <w:r>
        <w:t>The calculations and recommendations in this report are based on the supplied ECA5604 assignment brief and standard engineering models explicitly specified there, including hexagonal cell geometry, Erlang B, the stated handoff model, dBm power conversion, free-space path loss and international spectrum-coordination roles.</w:t>
      </w:r>
    </w:p>
    <w:p>
      <w:r>
        <w:t>For final submission, add any external technical sources consulted, using the citation style required by the course. The report intentionally distinguishes supplied planning values and derived calculations from deployment assumptions that require field validation.</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