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 Autocomp Private Limited — Liquidation Tax Implications</w:t>
      </w:r>
    </w:p>
    <w:p>
      <w:r>
        <w:rPr>
          <w:i/>
          <w:sz w:val="18"/>
        </w:rPr>
        <w:t>Based on audited financials FY2024-25 (CIN U35122HR2007PTC037071). Figures converted to actual Rupees. This is a planning summary, not tax advice.</w:t>
      </w:r>
    </w:p>
    <w:p>
      <w:pPr>
        <w:pStyle w:val="Heading1"/>
      </w:pPr>
      <w:r>
        <w:t>The two-level tax on liquidation</w:t>
      </w:r>
    </w:p>
    <w:p>
      <w:r>
        <w:t>When the company is wound up and its assets are distributed to the two shareholders (Bikram Singh Chadha 50% and Sonu Chadha 50%), tax arises at up to three points:</w:t>
      </w:r>
    </w:p>
    <w:p>
      <w:pPr>
        <w:pStyle w:val="ListBullet"/>
      </w:pPr>
      <w:r>
        <w:t>Company level — Sec 46(1) + Sec 45: if assets (mainly the IMT Manesar land) are SOLD to raise cash, the company pays capital-gains tax on the gain over cost before distributing.</w:t>
      </w:r>
    </w:p>
    <w:p>
      <w:pPr>
        <w:pStyle w:val="ListBullet"/>
      </w:pPr>
      <w:r>
        <w:t>Shareholder level — Sec 2(22)(c): the distribution, to the extent of accumulated profits (Reserve &amp; Surplus), is a DEEMED DIVIDEND taxed at each shareholder's slab rate.</w:t>
      </w:r>
    </w:p>
    <w:p>
      <w:pPr>
        <w:pStyle w:val="ListBullet"/>
      </w:pPr>
      <w:r>
        <w:t>Shareholder level — Sec 46(2): any amount received above (deemed dividend + cost of shares) is CAPITAL GAINS. The return of paid-up capital itself equals the cost and is therefore NOT taxed.</w:t>
      </w:r>
    </w:p>
    <w:p>
      <w:pPr>
        <w:pStyle w:val="Heading1"/>
      </w:pPr>
      <w:r>
        <w:t>Key figures from the financials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(Rs.)</w:t>
            </w:r>
          </w:p>
        </w:tc>
      </w:tr>
      <w:tr>
        <w:tc>
          <w:tcPr>
            <w:tcW w:type="dxa" w:w="4320"/>
          </w:tcPr>
          <w:p>
            <w:r>
              <w:t>Paid-up share capital (10,000 x Rs.10)</w:t>
            </w:r>
          </w:p>
        </w:tc>
        <w:tc>
          <w:tcPr>
            <w:tcW w:type="dxa" w:w="4320"/>
          </w:tcPr>
          <w:p>
            <w:r>
              <w:t>₹ 100,000</w:t>
            </w:r>
          </w:p>
        </w:tc>
      </w:tr>
      <w:tr>
        <w:tc>
          <w:tcPr>
            <w:tcW w:type="dxa" w:w="4320"/>
          </w:tcPr>
          <w:p>
            <w:r>
              <w:t>Reserve &amp; Surplus (accumulated profits)</w:t>
            </w:r>
          </w:p>
        </w:tc>
        <w:tc>
          <w:tcPr>
            <w:tcW w:type="dxa" w:w="4320"/>
          </w:tcPr>
          <w:p>
            <w:r>
              <w:t>₹ 5,189,668</w:t>
            </w:r>
          </w:p>
        </w:tc>
      </w:tr>
      <w:tr>
        <w:tc>
          <w:tcPr>
            <w:tcW w:type="dxa" w:w="4320"/>
          </w:tcPr>
          <w:p>
            <w:r>
              <w:t>Land &amp; Building — book value (Manesar)</w:t>
            </w:r>
          </w:p>
        </w:tc>
        <w:tc>
          <w:tcPr>
            <w:tcW w:type="dxa" w:w="4320"/>
          </w:tcPr>
          <w:p>
            <w:r>
              <w:t>₹ 14,574,847</w:t>
            </w:r>
          </w:p>
        </w:tc>
      </w:tr>
      <w:tr>
        <w:tc>
          <w:tcPr>
            <w:tcW w:type="dxa" w:w="4320"/>
          </w:tcPr>
          <w:p>
            <w:r>
              <w:t>Other assets (FD + receivables + cash)</w:t>
            </w:r>
          </w:p>
        </w:tc>
        <w:tc>
          <w:tcPr>
            <w:tcW w:type="dxa" w:w="4320"/>
          </w:tcPr>
          <w:p>
            <w:r>
              <w:t>₹ 6,478,085</w:t>
            </w:r>
          </w:p>
        </w:tc>
      </w:tr>
      <w:tr>
        <w:tc>
          <w:tcPr>
            <w:tcW w:type="dxa" w:w="4320"/>
          </w:tcPr>
          <w:p>
            <w:r>
              <w:t>Total external liabilities</w:t>
            </w:r>
          </w:p>
        </w:tc>
        <w:tc>
          <w:tcPr>
            <w:tcW w:type="dxa" w:w="4320"/>
          </w:tcPr>
          <w:p>
            <w:r>
              <w:t>₹ 15,763,264</w:t>
            </w:r>
          </w:p>
        </w:tc>
      </w:tr>
      <w:tr>
        <w:tc>
          <w:tcPr>
            <w:tcW w:type="dxa" w:w="4320"/>
          </w:tcPr>
          <w:p>
            <w:r>
              <w:t>Net assets at book (distributable at book)</w:t>
            </w:r>
          </w:p>
        </w:tc>
        <w:tc>
          <w:tcPr>
            <w:tcW w:type="dxa" w:w="4320"/>
          </w:tcPr>
          <w:p>
            <w:r>
              <w:t>₹ 5,289,668</w:t>
            </w:r>
          </w:p>
        </w:tc>
      </w:tr>
    </w:tbl>
    <w:p>
      <w:pPr>
        <w:pStyle w:val="Heading1"/>
      </w:pPr>
      <w:r>
        <w:t>Scenario 1 — assets realise only BOOK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Amount (Rs.)</w:t>
            </w:r>
          </w:p>
        </w:tc>
      </w:tr>
      <w:tr>
        <w:tc>
          <w:tcPr>
            <w:tcW w:type="dxa" w:w="4320"/>
          </w:tcPr>
          <w:p>
            <w:r>
              <w:t>Company capital-gains tax (land at book)</w:t>
            </w:r>
          </w:p>
        </w:tc>
        <w:tc>
          <w:tcPr>
            <w:tcW w:type="dxa" w:w="4320"/>
          </w:tcPr>
          <w:p>
            <w:r>
              <w:t>₹ 0</w:t>
            </w:r>
          </w:p>
        </w:tc>
      </w:tr>
      <w:tr>
        <w:tc>
          <w:tcPr>
            <w:tcW w:type="dxa" w:w="4320"/>
          </w:tcPr>
          <w:p>
            <w:r>
              <w:t>Deemed dividend u/s 2(22)(c)</w:t>
            </w:r>
          </w:p>
        </w:tc>
        <w:tc>
          <w:tcPr>
            <w:tcW w:type="dxa" w:w="4320"/>
          </w:tcPr>
          <w:p>
            <w:r>
              <w:t>₹ 5,189,668</w:t>
            </w:r>
          </w:p>
        </w:tc>
      </w:tr>
      <w:tr>
        <w:tc>
          <w:tcPr>
            <w:tcW w:type="dxa" w:w="4320"/>
          </w:tcPr>
          <w:p>
            <w:r>
              <w:t>Tax on deemed dividend @ 31.2%</w:t>
            </w:r>
          </w:p>
        </w:tc>
        <w:tc>
          <w:tcPr>
            <w:tcW w:type="dxa" w:w="4320"/>
          </w:tcPr>
          <w:p>
            <w:r>
              <w:t>₹ 1,619,176</w:t>
            </w:r>
          </w:p>
        </w:tc>
      </w:tr>
      <w:tr>
        <w:tc>
          <w:tcPr>
            <w:tcW w:type="dxa" w:w="4320"/>
          </w:tcPr>
          <w:p>
            <w:r>
              <w:t>Capital gains u/s 46(2)</w:t>
            </w:r>
          </w:p>
        </w:tc>
        <w:tc>
          <w:tcPr>
            <w:tcW w:type="dxa" w:w="4320"/>
          </w:tcPr>
          <w:p>
            <w:r>
              <w:t>₹ 0</w:t>
            </w:r>
          </w:p>
        </w:tc>
      </w:tr>
      <w:tr>
        <w:tc>
          <w:tcPr>
            <w:tcW w:type="dxa" w:w="4320"/>
          </w:tcPr>
          <w:p>
            <w:r>
              <w:t>Return of capital (tax-free)</w:t>
            </w:r>
          </w:p>
        </w:tc>
        <w:tc>
          <w:tcPr>
            <w:tcW w:type="dxa" w:w="4320"/>
          </w:tcPr>
          <w:p>
            <w:r>
              <w:t>₹ 100,000</w:t>
            </w:r>
          </w:p>
        </w:tc>
      </w:tr>
      <w:tr>
        <w:tc>
          <w:tcPr>
            <w:tcW w:type="dxa" w:w="4320"/>
          </w:tcPr>
          <w:p>
            <w:r>
              <w:t>TOTAL TAX (company + shareholders)</w:t>
            </w:r>
          </w:p>
        </w:tc>
        <w:tc>
          <w:tcPr>
            <w:tcW w:type="dxa" w:w="4320"/>
          </w:tcPr>
          <w:p>
            <w:r>
              <w:t>₹ 1,619,176</w:t>
            </w:r>
          </w:p>
        </w:tc>
      </w:tr>
      <w:tr>
        <w:tc>
          <w:tcPr>
            <w:tcW w:type="dxa" w:w="4320"/>
          </w:tcPr>
          <w:p>
            <w:r>
              <w:t>Net reaching shareholders after all tax</w:t>
            </w:r>
          </w:p>
        </w:tc>
        <w:tc>
          <w:tcPr>
            <w:tcW w:type="dxa" w:w="4320"/>
          </w:tcPr>
          <w:p>
            <w:r>
              <w:t>₹ 3,670,492</w:t>
            </w:r>
          </w:p>
        </w:tc>
      </w:tr>
    </w:tbl>
    <w:p>
      <w:r>
        <w:t>Per shareholder: distribution ~₹ 2,644,834, of which tax-free capital ₹ 50,000; personal tax ~₹ 809,588.</w:t>
      </w:r>
    </w:p>
    <w:p>
      <w:pPr>
        <w:pStyle w:val="Heading1"/>
      </w:pPr>
      <w:r>
        <w:t>Scenario 2 — the real driver: Manesar land at MARKET value</w:t>
      </w:r>
    </w:p>
    <w:p>
      <w:r>
        <w:rPr>
          <w:b/>
        </w:rPr>
        <w:t>The Land &amp; Building sits at only ₹ 14,574,847 (book, 0% depreciation), but an industrial plot in IMT Manesar Sector-3 is very likely worth several times that. If it is sold at market value: (a) the company pays 12.5% LTCG + surcharge + cess on the gain, and (b) the post-tax gain swells the reserves, so the shareholders pay slab tax on a much larger deemed dividend. The total tax can run into crores. The Excel model lets you enter the actual market value and see the number instantly.</w:t>
      </w:r>
    </w:p>
    <w:p>
      <w:r>
        <w:t>Because the entire appreciation flows through the P&amp;L into reserves, it is caught as deemed dividend under 2(22)(c); the Sec 46(2) capital gain stays ~nil (the only amount above reserves is the paid-up capital, which equals cost). So the shareholder-level tax is essentially slab tax on the whole enlarged reserve.</w:t>
      </w:r>
    </w:p>
    <w:p>
      <w:pPr>
        <w:pStyle w:val="Heading1"/>
      </w:pPr>
      <w:r>
        <w:t>Important caveats</w:t>
      </w:r>
    </w:p>
    <w:p>
      <w:pPr>
        <w:pStyle w:val="ListBullet"/>
      </w:pPr>
      <w:r>
        <w:t>The Rs.1.54 cr related-party loan and all creditors must be repaid before shareholders receive anything.</w:t>
      </w:r>
    </w:p>
    <w:p>
      <w:pPr>
        <w:pStyle w:val="ListBullet"/>
      </w:pPr>
      <w:r>
        <w:t>TDS u/s 194 may apply on the deemed dividend.</w:t>
      </w:r>
    </w:p>
    <w:p>
      <w:pPr>
        <w:pStyle w:val="ListBullet"/>
      </w:pPr>
      <w:r>
        <w:t>Shareholder tax is shown at a single marginal rate (31.2%); the real figure depends on each shareholder's total income and applicable surcharge.</w:t>
      </w:r>
    </w:p>
    <w:p>
      <w:pPr>
        <w:pStyle w:val="ListBullet"/>
      </w:pPr>
      <w:r>
        <w:t>A statutory conversion to LLP under Sec 47(xiiib) can avoid almost all of this tax — consider it before liquidating. See the accompanying LLP calculator.</w:t>
      </w:r>
    </w:p>
    <w:p>
      <w:pPr>
        <w:pStyle w:val="ListBullet"/>
      </w:pPr>
      <w:r>
        <w:t>Not tax advice — validate every figure with your 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