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pPr>
      <w:r>
        <w:rPr>
          <w:rFonts w:ascii="Arial" w:cs="Arial" w:eastAsia="Arial" w:hAnsi="Arial"/>
          <w:b/>
          <w:bCs/>
          <w:color w:val="1F3864"/>
          <w:sz w:val="52"/>
          <w:szCs w:val="52"/>
        </w:rPr>
        <w:t xml:space="preserve">QA &amp; Product Testing Report</w:t>
      </w:r>
    </w:p>
    <w:p>
      <w:pPr>
        <w:spacing w:after="100"/>
      </w:pPr>
      <w:r>
        <w:rPr>
          <w:rFonts w:ascii="Arial" w:cs="Arial" w:eastAsia="Arial" w:hAnsi="Arial"/>
          <w:color w:val="2E4C7E"/>
          <w:sz w:val="30"/>
          <w:szCs w:val="30"/>
        </w:rPr>
        <w:t xml:space="preserve">Aura Workspace — Physician Review Cockpit</w:t>
      </w:r>
    </w:p>
    <w:p>
      <w:pPr>
        <w:spacing w:after="60"/>
      </w:pPr>
      <w:r>
        <w:rPr>
          <w:rFonts w:ascii="Courier New" w:cs="Courier New" w:eastAsia="Courier New" w:hAnsi="Courier New"/>
          <w:color w:val="555555"/>
          <w:sz w:val="20"/>
          <w:szCs w:val="20"/>
        </w:rPr>
        <w:t xml:space="preserve">URL: https://v0-ai-discharge-summary.vercel.app/cockpit.html</w:t>
      </w:r>
    </w:p>
    <w:p>
      <w:pPr>
        <w:pBdr>
          <w:bottom w:val="single" w:color="1F3864"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0D0" w:sz="4"/>
              <w:left w:val="single" w:color="D0D0D0" w:sz="4"/>
              <w:bottom w:val="single" w:color="D0D0D0" w:sz="4"/>
              <w:right w:val="single" w:color="D0D0D0" w:sz="4"/>
            </w:tcBorders>
            <w:shd w:fill="FCE4E4" w:val="clear"/>
            <w:tcMar>
              <w:top w:type="dxa" w:w="120"/>
              <w:left w:type="dxa" w:w="120"/>
              <w:bottom w:type="dxa" w:w="120"/>
              <w:right w:type="dxa" w:w="120"/>
            </w:tcMar>
          </w:tcPr>
          <w:p>
            <w:pPr>
              <w:jc w:val="center"/>
            </w:pPr>
            <w:r>
              <w:rPr>
                <w:rFonts w:ascii="Arial" w:cs="Arial" w:eastAsia="Arial" w:hAnsi="Arial"/>
                <w:b/>
                <w:bCs/>
                <w:color w:val="C0392B"/>
                <w:sz w:val="52"/>
                <w:szCs w:val="52"/>
              </w:rPr>
              <w:t xml:space="preserve">4</w:t>
            </w:r>
          </w:p>
          <w:p>
            <w:pPr>
              <w:jc w:val="center"/>
            </w:pPr>
            <w:r>
              <w:rPr>
                <w:rFonts w:ascii="Arial" w:cs="Arial" w:eastAsia="Arial" w:hAnsi="Arial"/>
                <w:color w:val="C0392B"/>
                <w:sz w:val="18"/>
                <w:szCs w:val="18"/>
              </w:rPr>
              <w:t xml:space="preserve">Critical bugs</w:t>
            </w:r>
          </w:p>
        </w:tc>
        <w:tc>
          <w:tcPr>
            <w:tcW w:type="dxa" w:w="1872"/>
            <w:tcBorders>
              <w:top w:val="single" w:color="D0D0D0" w:sz="4"/>
              <w:left w:val="single" w:color="D0D0D0" w:sz="4"/>
              <w:bottom w:val="single" w:color="D0D0D0" w:sz="4"/>
              <w:right w:val="single" w:color="D0D0D0" w:sz="4"/>
            </w:tcBorders>
            <w:shd w:fill="FEF3CD" w:val="clear"/>
            <w:tcMar>
              <w:top w:type="dxa" w:w="120"/>
              <w:left w:type="dxa" w:w="120"/>
              <w:bottom w:type="dxa" w:w="120"/>
              <w:right w:type="dxa" w:w="120"/>
            </w:tcMar>
          </w:tcPr>
          <w:p>
            <w:pPr>
              <w:jc w:val="center"/>
            </w:pPr>
            <w:r>
              <w:rPr>
                <w:rFonts w:ascii="Arial" w:cs="Arial" w:eastAsia="Arial" w:hAnsi="Arial"/>
                <w:b/>
                <w:bCs/>
                <w:color w:val="856404"/>
                <w:sz w:val="52"/>
                <w:szCs w:val="52"/>
              </w:rPr>
              <w:t xml:space="preserve">6</w:t>
            </w:r>
          </w:p>
          <w:p>
            <w:pPr>
              <w:jc w:val="center"/>
            </w:pPr>
            <w:r>
              <w:rPr>
                <w:rFonts w:ascii="Arial" w:cs="Arial" w:eastAsia="Arial" w:hAnsi="Arial"/>
                <w:color w:val="856404"/>
                <w:sz w:val="18"/>
                <w:szCs w:val="18"/>
              </w:rPr>
              <w:t xml:space="preserve">High severity</w:t>
            </w:r>
          </w:p>
        </w:tc>
        <w:tc>
          <w:tcPr>
            <w:tcW w:type="dxa" w:w="1872"/>
            <w:tcBorders>
              <w:top w:val="single" w:color="D0D0D0" w:sz="4"/>
              <w:left w:val="single" w:color="D0D0D0" w:sz="4"/>
              <w:bottom w:val="single" w:color="D0D0D0" w:sz="4"/>
              <w:right w:val="single" w:color="D0D0D0" w:sz="4"/>
            </w:tcBorders>
            <w:shd w:fill="D6EAF8" w:val="clear"/>
            <w:tcMar>
              <w:top w:type="dxa" w:w="120"/>
              <w:left w:type="dxa" w:w="120"/>
              <w:bottom w:type="dxa" w:w="120"/>
              <w:right w:type="dxa" w:w="120"/>
            </w:tcMar>
          </w:tcPr>
          <w:p>
            <w:pPr>
              <w:jc w:val="center"/>
            </w:pPr>
            <w:r>
              <w:rPr>
                <w:rFonts w:ascii="Arial" w:cs="Arial" w:eastAsia="Arial" w:hAnsi="Arial"/>
                <w:b/>
                <w:bCs/>
                <w:color w:val="1A5276"/>
                <w:sz w:val="52"/>
                <w:szCs w:val="52"/>
              </w:rPr>
              <w:t xml:space="preserve">8</w:t>
            </w:r>
          </w:p>
          <w:p>
            <w:pPr>
              <w:jc w:val="center"/>
            </w:pPr>
            <w:r>
              <w:rPr>
                <w:rFonts w:ascii="Arial" w:cs="Arial" w:eastAsia="Arial" w:hAnsi="Arial"/>
                <w:color w:val="1A5276"/>
                <w:sz w:val="18"/>
                <w:szCs w:val="18"/>
              </w:rPr>
              <w:t xml:space="preserve">Medium severity</w:t>
            </w:r>
          </w:p>
        </w:tc>
        <w:tc>
          <w:tcPr>
            <w:tcW w:type="dxa" w:w="1872"/>
            <w:tcBorders>
              <w:top w:val="single" w:color="D0D0D0" w:sz="4"/>
              <w:left w:val="single" w:color="D0D0D0" w:sz="4"/>
              <w:bottom w:val="single" w:color="D0D0D0" w:sz="4"/>
              <w:right w:val="single" w:color="D0D0D0" w:sz="4"/>
            </w:tcBorders>
            <w:shd w:fill="D5F5E3" w:val="clear"/>
            <w:tcMar>
              <w:top w:type="dxa" w:w="120"/>
              <w:left w:type="dxa" w:w="120"/>
              <w:bottom w:type="dxa" w:w="120"/>
              <w:right w:type="dxa" w:w="120"/>
            </w:tcMar>
          </w:tcPr>
          <w:p>
            <w:pPr>
              <w:jc w:val="center"/>
            </w:pPr>
            <w:r>
              <w:rPr>
                <w:rFonts w:ascii="Arial" w:cs="Arial" w:eastAsia="Arial" w:hAnsi="Arial"/>
                <w:b/>
                <w:bCs/>
                <w:color w:val="1E8449"/>
                <w:sz w:val="52"/>
                <w:szCs w:val="52"/>
              </w:rPr>
              <w:t xml:space="preserve">5</w:t>
            </w:r>
          </w:p>
          <w:p>
            <w:pPr>
              <w:jc w:val="center"/>
            </w:pPr>
            <w:r>
              <w:rPr>
                <w:rFonts w:ascii="Arial" w:cs="Arial" w:eastAsia="Arial" w:hAnsi="Arial"/>
                <w:color w:val="1E8449"/>
                <w:sz w:val="18"/>
                <w:szCs w:val="18"/>
              </w:rPr>
              <w:t xml:space="preserve">Low / UX issues</w:t>
            </w:r>
          </w:p>
        </w:tc>
        <w:tc>
          <w:tcPr>
            <w:tcW w:type="dxa" w:w="1872"/>
            <w:tcBorders>
              <w:top w:val="single" w:color="D0D0D0" w:sz="4"/>
              <w:left w:val="single" w:color="D0D0D0" w:sz="4"/>
              <w:bottom w:val="single" w:color="D0D0D0" w:sz="4"/>
              <w:right w:val="single" w:color="D0D0D0" w:sz="4"/>
            </w:tcBorders>
            <w:shd w:fill="EEE6FF" w:val="clear"/>
            <w:tcMar>
              <w:top w:type="dxa" w:w="120"/>
              <w:left w:type="dxa" w:w="120"/>
              <w:bottom w:type="dxa" w:w="120"/>
              <w:right w:type="dxa" w:w="120"/>
            </w:tcMar>
          </w:tcPr>
          <w:p>
            <w:pPr>
              <w:jc w:val="center"/>
            </w:pPr>
            <w:r>
              <w:rPr>
                <w:rFonts w:ascii="Arial" w:cs="Arial" w:eastAsia="Arial" w:hAnsi="Arial"/>
                <w:b/>
                <w:bCs/>
                <w:color w:val="5B2C8E"/>
                <w:sz w:val="52"/>
                <w:szCs w:val="52"/>
              </w:rPr>
              <w:t xml:space="preserve">12</w:t>
            </w:r>
          </w:p>
          <w:p>
            <w:pPr>
              <w:jc w:val="center"/>
            </w:pPr>
            <w:r>
              <w:rPr>
                <w:rFonts w:ascii="Arial" w:cs="Arial" w:eastAsia="Arial" w:hAnsi="Arial"/>
                <w:color w:val="5B2C8E"/>
                <w:sz w:val="18"/>
                <w:szCs w:val="18"/>
              </w:rPr>
              <w:t xml:space="preserve">Enhancements</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4"/>
              <w:left w:val="single" w:color="D0D0D0" w:sz="4"/>
              <w:bottom w:val="single" w:color="D0D0D0" w:sz="4"/>
              <w:right w:val="single" w:color="D0D0D0" w:sz="4"/>
            </w:tcBorders>
            <w:shd w:fill="F0F4FA" w:val="clear"/>
            <w:tcMar>
              <w:top w:type="dxa" w:w="80"/>
              <w:left w:type="dxa" w:w="120"/>
              <w:bottom w:type="dxa" w:w="80"/>
              <w:right w:type="dxa" w:w="80"/>
            </w:tcMar>
          </w:tcPr>
          <w:p>
            <w:r>
              <w:rPr>
                <w:rFonts w:ascii="Arial" w:cs="Arial" w:eastAsia="Arial" w:hAnsi="Arial"/>
                <w:b/>
                <w:bCs/>
                <w:color w:val="1F3864"/>
                <w:sz w:val="18"/>
                <w:szCs w:val="18"/>
              </w:rPr>
              <w:t xml:space="preserve">Product</w:t>
            </w:r>
          </w:p>
        </w:tc>
        <w:tc>
          <w:tcPr>
            <w:tcW w:type="dxa" w:w="70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80"/>
            </w:tcMar>
          </w:tcPr>
          <w:p>
            <w:r>
              <w:rPr>
                <w:rFonts w:ascii="Arial" w:cs="Arial" w:eastAsia="Arial" w:hAnsi="Arial"/>
                <w:color w:val="333333"/>
                <w:sz w:val="18"/>
                <w:szCs w:val="18"/>
              </w:rPr>
              <w:t xml:space="preserve">Aura Workspace — Physician Review Cockpit</w:t>
            </w:r>
          </w:p>
        </w:tc>
      </w:tr>
      <w:tr>
        <w:tc>
          <w:tcPr>
            <w:tcW w:type="dxa" w:w="2340"/>
            <w:tcBorders>
              <w:top w:val="single" w:color="D0D0D0" w:sz="4"/>
              <w:left w:val="single" w:color="D0D0D0" w:sz="4"/>
              <w:bottom w:val="single" w:color="D0D0D0" w:sz="4"/>
              <w:right w:val="single" w:color="D0D0D0" w:sz="4"/>
            </w:tcBorders>
            <w:shd w:fill="F0F4FA" w:val="clear"/>
            <w:tcMar>
              <w:top w:type="dxa" w:w="80"/>
              <w:left w:type="dxa" w:w="120"/>
              <w:bottom w:type="dxa" w:w="80"/>
              <w:right w:type="dxa" w:w="80"/>
            </w:tcMar>
          </w:tcPr>
          <w:p>
            <w:r>
              <w:rPr>
                <w:rFonts w:ascii="Arial" w:cs="Arial" w:eastAsia="Arial" w:hAnsi="Arial"/>
                <w:b/>
                <w:bCs/>
                <w:color w:val="1F3864"/>
                <w:sz w:val="18"/>
                <w:szCs w:val="18"/>
              </w:rPr>
              <w:t xml:space="preserve">Audit date</w:t>
            </w:r>
          </w:p>
        </w:tc>
        <w:tc>
          <w:tcPr>
            <w:tcW w:type="dxa" w:w="70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80"/>
            </w:tcMar>
          </w:tcPr>
          <w:p>
            <w:r>
              <w:rPr>
                <w:rFonts w:ascii="Arial" w:cs="Arial" w:eastAsia="Arial" w:hAnsi="Arial"/>
                <w:color w:val="333333"/>
                <w:sz w:val="18"/>
                <w:szCs w:val="18"/>
              </w:rPr>
              <w:t xml:space="preserve">26 May 2026</w:t>
            </w:r>
          </w:p>
        </w:tc>
      </w:tr>
      <w:tr>
        <w:tc>
          <w:tcPr>
            <w:tcW w:type="dxa" w:w="2340"/>
            <w:tcBorders>
              <w:top w:val="single" w:color="D0D0D0" w:sz="4"/>
              <w:left w:val="single" w:color="D0D0D0" w:sz="4"/>
              <w:bottom w:val="single" w:color="D0D0D0" w:sz="4"/>
              <w:right w:val="single" w:color="D0D0D0" w:sz="4"/>
            </w:tcBorders>
            <w:shd w:fill="F0F4FA" w:val="clear"/>
            <w:tcMar>
              <w:top w:type="dxa" w:w="80"/>
              <w:left w:type="dxa" w:w="120"/>
              <w:bottom w:type="dxa" w:w="80"/>
              <w:right w:type="dxa" w:w="80"/>
            </w:tcMar>
          </w:tcPr>
          <w:p>
            <w:r>
              <w:rPr>
                <w:rFonts w:ascii="Arial" w:cs="Arial" w:eastAsia="Arial" w:hAnsi="Arial"/>
                <w:b/>
                <w:bCs/>
                <w:color w:val="1F3864"/>
                <w:sz w:val="18"/>
                <w:szCs w:val="18"/>
              </w:rPr>
              <w:t xml:space="preserve">Audited by</w:t>
            </w:r>
          </w:p>
        </w:tc>
        <w:tc>
          <w:tcPr>
            <w:tcW w:type="dxa" w:w="70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80"/>
            </w:tcMar>
          </w:tcPr>
          <w:p>
            <w:r>
              <w:rPr>
                <w:rFonts w:ascii="Arial" w:cs="Arial" w:eastAsia="Arial" w:hAnsi="Arial"/>
                <w:color w:val="333333"/>
                <w:sz w:val="18"/>
                <w:szCs w:val="18"/>
              </w:rPr>
              <w:t xml:space="preserve">QA Testing Agent + PM Review</w:t>
            </w:r>
          </w:p>
        </w:tc>
      </w:tr>
      <w:tr>
        <w:tc>
          <w:tcPr>
            <w:tcW w:type="dxa" w:w="2340"/>
            <w:tcBorders>
              <w:top w:val="single" w:color="D0D0D0" w:sz="4"/>
              <w:left w:val="single" w:color="D0D0D0" w:sz="4"/>
              <w:bottom w:val="single" w:color="D0D0D0" w:sz="4"/>
              <w:right w:val="single" w:color="D0D0D0" w:sz="4"/>
            </w:tcBorders>
            <w:shd w:fill="F0F4FA" w:val="clear"/>
            <w:tcMar>
              <w:top w:type="dxa" w:w="80"/>
              <w:left w:type="dxa" w:w="120"/>
              <w:bottom w:type="dxa" w:w="80"/>
              <w:right w:type="dxa" w:w="80"/>
            </w:tcMar>
          </w:tcPr>
          <w:p>
            <w:r>
              <w:rPr>
                <w:rFonts w:ascii="Arial" w:cs="Arial" w:eastAsia="Arial" w:hAnsi="Arial"/>
                <w:b/>
                <w:bCs/>
                <w:color w:val="1F3864"/>
                <w:sz w:val="18"/>
                <w:szCs w:val="18"/>
              </w:rPr>
              <w:t xml:space="preserve">Build</w:t>
            </w:r>
          </w:p>
        </w:tc>
        <w:tc>
          <w:tcPr>
            <w:tcW w:type="dxa" w:w="70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80"/>
            </w:tcMar>
          </w:tcPr>
          <w:p>
            <w:r>
              <w:rPr>
                <w:rFonts w:ascii="Arial" w:cs="Arial" w:eastAsia="Arial" w:hAnsi="Arial"/>
                <w:color w:val="333333"/>
                <w:sz w:val="18"/>
                <w:szCs w:val="18"/>
              </w:rPr>
              <w:t xml:space="preserve">v0-preview (Vercel)</w:t>
            </w:r>
          </w:p>
        </w:tc>
      </w:tr>
      <w:tr>
        <w:tc>
          <w:tcPr>
            <w:tcW w:type="dxa" w:w="2340"/>
            <w:tcBorders>
              <w:top w:val="single" w:color="D0D0D0" w:sz="4"/>
              <w:left w:val="single" w:color="D0D0D0" w:sz="4"/>
              <w:bottom w:val="single" w:color="D0D0D0" w:sz="4"/>
              <w:right w:val="single" w:color="D0D0D0" w:sz="4"/>
            </w:tcBorders>
            <w:shd w:fill="F0F4FA" w:val="clear"/>
            <w:tcMar>
              <w:top w:type="dxa" w:w="80"/>
              <w:left w:type="dxa" w:w="120"/>
              <w:bottom w:type="dxa" w:w="80"/>
              <w:right w:type="dxa" w:w="80"/>
            </w:tcMar>
          </w:tcPr>
          <w:p>
            <w:r>
              <w:rPr>
                <w:rFonts w:ascii="Arial" w:cs="Arial" w:eastAsia="Arial" w:hAnsi="Arial"/>
                <w:b/>
                <w:bCs/>
                <w:color w:val="1F3864"/>
                <w:sz w:val="18"/>
                <w:szCs w:val="18"/>
              </w:rPr>
              <w:t xml:space="preserve">Scope</w:t>
            </w:r>
          </w:p>
        </w:tc>
        <w:tc>
          <w:tcPr>
            <w:tcW w:type="dxa" w:w="70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80"/>
            </w:tcMar>
          </w:tcPr>
          <w:p>
            <w:r>
              <w:rPr>
                <w:rFonts w:ascii="Arial" w:cs="Arial" w:eastAsia="Arial" w:hAnsi="Arial"/>
                <w:color w:val="333333"/>
                <w:sz w:val="18"/>
                <w:szCs w:val="18"/>
              </w:rPr>
              <w:t xml:space="preserve">Full cockpit.html — functional, UX, security, compliance, content</w:t>
            </w:r>
          </w:p>
        </w:tc>
      </w:tr>
      <w:tr>
        <w:tc>
          <w:tcPr>
            <w:tcW w:type="dxa" w:w="2340"/>
            <w:tcBorders>
              <w:top w:val="single" w:color="D0D0D0" w:sz="4"/>
              <w:left w:val="single" w:color="D0D0D0" w:sz="4"/>
              <w:bottom w:val="single" w:color="D0D0D0" w:sz="4"/>
              <w:right w:val="single" w:color="D0D0D0" w:sz="4"/>
            </w:tcBorders>
            <w:shd w:fill="F0F4FA" w:val="clear"/>
            <w:tcMar>
              <w:top w:type="dxa" w:w="80"/>
              <w:left w:type="dxa" w:w="120"/>
              <w:bottom w:type="dxa" w:w="80"/>
              <w:right w:type="dxa" w:w="80"/>
            </w:tcMar>
          </w:tcPr>
          <w:p>
            <w:r>
              <w:rPr>
                <w:rFonts w:ascii="Arial" w:cs="Arial" w:eastAsia="Arial" w:hAnsi="Arial"/>
                <w:b/>
                <w:bCs/>
                <w:color w:val="1F3864"/>
                <w:sz w:val="18"/>
                <w:szCs w:val="18"/>
              </w:rPr>
              <w:t xml:space="preserve">Methodology</w:t>
            </w:r>
          </w:p>
        </w:tc>
        <w:tc>
          <w:tcPr>
            <w:tcW w:type="dxa" w:w="70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80"/>
            </w:tcMar>
          </w:tcPr>
          <w:p>
            <w:r>
              <w:rPr>
                <w:rFonts w:ascii="Arial" w:cs="Arial" w:eastAsia="Arial" w:hAnsi="Arial"/>
                <w:color w:val="333333"/>
                <w:sz w:val="18"/>
                <w:szCs w:val="18"/>
              </w:rPr>
              <w:t xml:space="preserve">Manual page audit, DOM inspection, feature cross-check vs homepage claims</w:t>
            </w:r>
          </w:p>
        </w:tc>
      </w:tr>
    </w:tbl>
    <w:p>
      <w:pPr>
        <w:spacing w:after="400"/>
      </w:pPr>
      <w:r>
        <w:t xml:space="preserve"/>
      </w:r>
    </w:p>
    <w:p>
      <w:r>
        <w:br w:type="page"/>
      </w:r>
    </w:p>
    <w:p>
      <w:pPr>
        <w:pStyle w:val="Heading1"/>
      </w:pPr>
      <w:r>
        <w:rPr>
          <w:rFonts w:ascii="Arial" w:cs="Arial" w:eastAsia="Arial" w:hAnsi="Arial"/>
        </w:rPr>
        <w:t xml:space="preserve">Section 1 — Bugs &amp; Defects</w:t>
      </w:r>
    </w:p>
    <w:p>
      <w:pPr>
        <w:spacing w:after="200"/>
      </w:pPr>
      <w:r>
        <w:rPr>
          <w:rFonts w:ascii="Arial" w:cs="Arial" w:eastAsia="Arial" w:hAnsi="Arial"/>
          <w:color w:val="444444"/>
          <w:sz w:val="20"/>
          <w:szCs w:val="20"/>
        </w:rPr>
        <w:t xml:space="preserve">23 issues identified across functional behavior, UI state, data binding, and content accuracy. Grouped by severity.</w:t>
      </w:r>
    </w:p>
    <w:p>
      <w:pPr>
        <w:pBdr>
          <w:bottom w:val="single" w:color="1F3864" w:sz="6" w:space="1"/>
        </w:pBdr>
        <w:spacing w:after="80" w:before="280"/>
      </w:pPr>
      <w:r>
        <w:rPr>
          <w:rFonts w:ascii="Arial" w:cs="Arial" w:eastAsia="Arial" w:hAnsi="Arial"/>
          <w:b/>
          <w:bCs/>
          <w:color w:val="1F3864"/>
          <w:sz w:val="20"/>
          <w:szCs w:val="20"/>
        </w:rPr>
        <w:t xml:space="preserve">Critical — blocks core clinical workflow (4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20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Severity</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Category</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BUG-001</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Critical</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Functional</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Safety audit state is permanently contradictory</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100"/>
            </w:pPr>
            <w:r>
              <w:rPr>
                <w:rFonts w:ascii="Arial" w:cs="Arial" w:eastAsia="Arial" w:hAnsi="Arial"/>
                <w:color w:val="333333"/>
                <w:sz w:val="18"/>
                <w:szCs w:val="18"/>
              </w:rPr>
              <w:t xml:space="preserve">Both "LOCKOUT ACTIVE — allergy mismatch detected" and "AUDIT SUCCESSFUL — no clashes detected" are rendered simultaneously on the page at all times. These are mutually exclusive states; the UI has no conditional rendering logic to show only one. A physician cannot determine the actual audit status, which is a patient safety risk.</w:t>
            </w:r>
          </w:p>
          <w:p>
            <w:pPr>
              <w:pStyle w:val="ListParagraph"/>
              <w:numPr>
                <w:ilvl w:val="0"/>
                <w:numId w:val="2"/>
              </w:numPr>
            </w:pPr>
            <w:r>
              <w:rPr>
                <w:rFonts w:ascii="Arial" w:cs="Arial" w:eastAsia="Arial" w:hAnsi="Arial"/>
                <w:color w:val="555555"/>
                <w:sz w:val="17"/>
                <w:szCs w:val="17"/>
              </w:rPr>
              <w:t xml:space="preserve">Open cockpit — both audit blocks render without any patient data loaded</w:t>
            </w:r>
          </w:p>
          <w:p>
            <w:pPr>
              <w:pStyle w:val="ListParagraph"/>
              <w:numPr>
                <w:ilvl w:val="0"/>
                <w:numId w:val="2"/>
              </w:numPr>
            </w:pPr>
            <w:r>
              <w:rPr>
                <w:rFonts w:ascii="Arial" w:cs="Arial" w:eastAsia="Arial" w:hAnsi="Arial"/>
                <w:color w:val="555555"/>
                <w:sz w:val="17"/>
                <w:szCs w:val="17"/>
              </w:rPr>
              <w:t xml:space="preserve">Pre-load any case (STEMI / Appendicitis / DKA) — both blocks still show together</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BUG-002</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Critical</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Functional</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Audit score always displays 100% regardless of case state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"100% audit score" badge is hardcoded and does not respond to any input, medication entry, allergy field status, or AI generation. It provides false assurance to physicians who may rely on it as a safety indicator before approving a discharge.</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BUG-003</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Critical</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AI / Integration</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AI generation works only with external Gemini API key — no true simulation fallback</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product page claims a "double-engine" system where simulated medical intelligence runs without an API key. In practice, the Generate AI Summary button produces no output without a valid Gemini API key. Pre-loaded demo cases populate intake fields but do not populate the AI summary or patient handout sections.</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BUG-004</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Critical</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Data / Privacy</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PHI stored in plain-text localStorage with no encryption or session-scoping</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API key configuration dialog confirms the key is stored in browser localStorage. Any patient data entered in the intake fields is likely held in the same unencrypted storage scope. On a shared clinical workstation this exposes PHI across sessions and users, violating DPDP Act 2023 and ABDM security guidelines.</w:t>
            </w:r>
          </w:p>
        </w:tc>
      </w:tr>
    </w:tbl>
    <w:p>
      <w:pPr>
        <w:spacing w:after="240"/>
      </w:pPr>
      <w:r>
        <w:t xml:space="preserve"/>
      </w:r>
    </w:p>
    <w:p>
      <w:pPr>
        <w:pBdr>
          <w:bottom w:val="single" w:color="1F3864" w:sz="6" w:space="1"/>
        </w:pBdr>
        <w:spacing w:after="80" w:before="280"/>
      </w:pPr>
      <w:r>
        <w:rPr>
          <w:rFonts w:ascii="Arial" w:cs="Arial" w:eastAsia="Arial" w:hAnsi="Arial"/>
          <w:b/>
          <w:bCs/>
          <w:color w:val="1F3864"/>
          <w:sz w:val="20"/>
          <w:szCs w:val="20"/>
        </w:rPr>
        <w:t xml:space="preserve">High severity — significant workflow degradation (6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20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Severity</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Category</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BUG-005</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UI / State</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Medication table shows "0 drugs listed" even after pre-loading a case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Pre-loading any of the three demo cases does not populate any rows in the medication table. The counter remains "0 drugs listed." Discharge medication reconciliation is a mandatory step — an empty table breaks the clinical workflow entirely.</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BUG-006</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UI / Rendering</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Patient handout section 5 has no number or heading label</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Questions 1–4 and 6 in the Patient Handout View are numbered. Question 5 (emergency warning signs) is rendered with only an emoji icon but no ordinal label, breaking the numbered sequence and potentially confusing patients.</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BUG-007</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Functional</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"Import EMR" button is non-functional with no feedback</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Clicking the "Import EMR" button triggers no action, modal, loading state, or error message. EMR import is promoted as the primary data source on the product landing page — a silent no-op is a significant trust failure in a clinical demo context.</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BUG-008</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Functional</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"Attending Approval Sign-Off" fires without any validation</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sign-off CTA appears clickable even when the safety audit lockout is supposedly active. There is no PIN entry, no confirmation dialog, and no guard against signing off while the contradictory audit state (BUG-001) is showing. This defeats the product's core physician-gated approval promise.</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BUG-009</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Functional</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Discharge summary print template renders with empty section bodies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printable discharge summary (Aura General Medical Center letterhead) has all 7 section headings present but all body fields are blank. Even after pre-loading a case, sections 1–5 show no content. Printing in current state produces a blank clinical record.</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BUG-010</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Content</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Static "John Doe" patient name hardcoded in handout and summary template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Patient Handout View says "Hello, John Doe" and the Discharge Summary template has "Patient Name: John Doe / MRN: MRN-8472-A" hardcoded. These do not update when a different case is pre-loaded, signalling to clinical buyers that data binding is not implemented.</w:t>
            </w:r>
          </w:p>
        </w:tc>
      </w:tr>
    </w:tbl>
    <w:p>
      <w:pPr>
        <w:spacing w:after="240"/>
      </w:pPr>
      <w:r>
        <w:t xml:space="preserve"/>
      </w:r>
    </w:p>
    <w:p>
      <w:pPr>
        <w:pBdr>
          <w:bottom w:val="single" w:color="1F3864" w:sz="6" w:space="1"/>
        </w:pBdr>
        <w:spacing w:after="80" w:before="280"/>
      </w:pPr>
      <w:r>
        <w:rPr>
          <w:rFonts w:ascii="Arial" w:cs="Arial" w:eastAsia="Arial" w:hAnsi="Arial"/>
          <w:b/>
          <w:bCs/>
          <w:color w:val="1F3864"/>
          <w:sz w:val="20"/>
          <w:szCs w:val="20"/>
        </w:rPr>
        <w:t xml:space="preserve">Medium severity — functional gaps (8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20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Severity</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Category</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BUG-011</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UX / Navigation</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No active state or scroll-to-section behavior on section headers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cockpit has multiple long sections with no sticky navigation, section progress indicator, or scroll-to links. On a standard hospital monitor at 1366x768, key sections like Safety Audit and Sign-Off are only reachable by significant scrolling.</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BUG-012</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Functional</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Bedside dictation field has no parsing or field-mapping feedback</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dictation section states "Aura parses fields dynamically" but pasting clinical text into the textarea produces no field highlighting, extracted entity display, or mapping confirmation. This headline feature has no visible implementation in the current build.</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BUG-013</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UI</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Cloud sync button provides no status or confirmation feedback</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"cloud sync" element shows no loading indicator, last-sync timestamp, or success/failure state. In a clinical context, an unconfirmed sync is indistinguishable from a failed one.</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BUG-014</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UX / Accessibility</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Light/dark mode toggle state is not persisted across page reloads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Toggling between light and dark mode reverts to default on page refresh. Physicians working night shifts who set dark mode will have it reset every session, which is a usability regression.</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BUG-015</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API / Security</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Gemini API model selector shows deprecated model strings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API configuration dialog lists "Gemini 1.5 Flash" and "Gemini 1.5 Pro." As of Q1 2025 these have been deprecated and replaced by the Gemini 2.x family. Calls using these model strings will fail or return errors with no user-facing explanation.</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BUG-016</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Content</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"Copy" button in Patient Handout has no clipboard action</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Copy button in the mobile patient handout view does not copy content to clipboard. No feedback — toast, checkmark animation — is provided. The "Push" button similarly performs no action.</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BUG-017</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Content</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Language selector in patient handout has no functional translation</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dropdown shows "English (Plain)" and "Español (Sencillo)" but switching produces no content change. The homepage advertises 6 Indian language translations — none are present in the cockpit, creating a marketing misalignment.</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BUG-018</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UI</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Timestamp "12:30 PM" is static and not derived from the system clock</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cockpit header shows a hardcoded "12:30 PM" timestamp. Clinical systems require live timestamps for audit trail accuracy — a static time on a patient record is a compliance violation in regulated environments.</w:t>
            </w:r>
          </w:p>
        </w:tc>
      </w:tr>
    </w:tbl>
    <w:p>
      <w:pPr>
        <w:spacing w:after="240"/>
      </w:pPr>
      <w:r>
        <w:t xml:space="preserve"/>
      </w:r>
    </w:p>
    <w:p>
      <w:pPr>
        <w:pBdr>
          <w:bottom w:val="single" w:color="1F3864" w:sz="6" w:space="1"/>
        </w:pBdr>
        <w:spacing w:after="80" w:before="280"/>
      </w:pPr>
      <w:r>
        <w:rPr>
          <w:rFonts w:ascii="Arial" w:cs="Arial" w:eastAsia="Arial" w:hAnsi="Arial"/>
          <w:b/>
          <w:bCs/>
          <w:color w:val="1F3864"/>
          <w:sz w:val="20"/>
          <w:szCs w:val="20"/>
        </w:rPr>
        <w:t xml:space="preserve">Low / UX — polish and trust signals (5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20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Severity</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Category</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BUG-019</w:t>
            </w:r>
          </w:p>
        </w:tc>
        <w:tc>
          <w:tcPr>
            <w:tcW w:type="dxa" w:w="1080"/>
            <w:tcBorders>
              <w:top w:val="single" w:color="D0D0D0" w:sz="4"/>
              <w:left w:val="single" w:color="D0D0D0" w:sz="4"/>
              <w:bottom w:val="single" w:color="D0D0D0" w:sz="4"/>
              <w:right w:val="single" w:color="D0D0D0" w:sz="4"/>
            </w:tcBorders>
            <w:shd w:fill="D5F5E3" w:val="clear"/>
            <w:tcMar>
              <w:top w:type="dxa" w:w="80"/>
              <w:left w:type="dxa" w:w="120"/>
              <w:bottom w:type="dxa" w:w="80"/>
              <w:right w:type="dxa" w:w="80"/>
            </w:tcMar>
          </w:tcPr>
          <w:p>
            <w:pPr>
              <w:jc w:val="center"/>
            </w:pPr>
            <w:r>
              <w:rPr>
                <w:rFonts w:ascii="Arial" w:cs="Arial" w:eastAsia="Arial" w:hAnsi="Arial"/>
                <w:b/>
                <w:bCs/>
                <w:color w:val="1E8449"/>
                <w:sz w:val="17"/>
                <w:szCs w:val="17"/>
              </w:rPr>
              <w:t xml:space="preserve">Low</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Content</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Hospital context hardcoded as "New York, NY" despite Indian healthcare focus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print summary template shows "100 Medical Plaza, New York, NY 10016 | (212) 555-0199." The entire product is marketed for Indian hospitals with ABDM/NHCX compliance. This mismatch undermines credibility with Indian clinical buyers during demos.</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BUG-020</w:t>
            </w:r>
          </w:p>
        </w:tc>
        <w:tc>
          <w:tcPr>
            <w:tcW w:type="dxa" w:w="1080"/>
            <w:tcBorders>
              <w:top w:val="single" w:color="D0D0D0" w:sz="4"/>
              <w:left w:val="single" w:color="D0D0D0" w:sz="4"/>
              <w:bottom w:val="single" w:color="D0D0D0" w:sz="4"/>
              <w:right w:val="single" w:color="D0D0D0" w:sz="4"/>
            </w:tcBorders>
            <w:shd w:fill="D5F5E3" w:val="clear"/>
            <w:tcMar>
              <w:top w:type="dxa" w:w="80"/>
              <w:left w:type="dxa" w:w="120"/>
              <w:bottom w:type="dxa" w:w="80"/>
              <w:right w:type="dxa" w:w="80"/>
            </w:tcMar>
          </w:tcPr>
          <w:p>
            <w:pPr>
              <w:jc w:val="center"/>
            </w:pPr>
            <w:r>
              <w:rPr>
                <w:rFonts w:ascii="Arial" w:cs="Arial" w:eastAsia="Arial" w:hAnsi="Arial"/>
                <w:b/>
                <w:bCs/>
                <w:color w:val="1E8449"/>
                <w:sz w:val="17"/>
                <w:szCs w:val="17"/>
              </w:rPr>
              <w:t xml:space="preserve">Low</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UX</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No unsaved-changes warning when navigating away from a partially filled case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Clicking "← Product Home" with data entered in the intake fields navigates away immediately with no confirmation. Any clinical note or patient data entered is silently lost.</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BUG-021</w:t>
            </w:r>
          </w:p>
        </w:tc>
        <w:tc>
          <w:tcPr>
            <w:tcW w:type="dxa" w:w="1080"/>
            <w:tcBorders>
              <w:top w:val="single" w:color="D0D0D0" w:sz="4"/>
              <w:left w:val="single" w:color="D0D0D0" w:sz="4"/>
              <w:bottom w:val="single" w:color="D0D0D0" w:sz="4"/>
              <w:right w:val="single" w:color="D0D0D0" w:sz="4"/>
            </w:tcBorders>
            <w:shd w:fill="D5F5E3" w:val="clear"/>
            <w:tcMar>
              <w:top w:type="dxa" w:w="80"/>
              <w:left w:type="dxa" w:w="120"/>
              <w:bottom w:type="dxa" w:w="80"/>
              <w:right w:type="dxa" w:w="80"/>
            </w:tcMar>
          </w:tcPr>
          <w:p>
            <w:pPr>
              <w:jc w:val="center"/>
            </w:pPr>
            <w:r>
              <w:rPr>
                <w:rFonts w:ascii="Arial" w:cs="Arial" w:eastAsia="Arial" w:hAnsi="Arial"/>
                <w:b/>
                <w:bCs/>
                <w:color w:val="1E8449"/>
                <w:sz w:val="17"/>
                <w:szCs w:val="17"/>
              </w:rPr>
              <w:t xml:space="preserve">Low</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UX</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FAQ link in header navigates nowhere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"FAQs" link in the cockpit top bar has no href or click handler. It renders as decorative text, frustrating users who naturally seek help documentation when exploring a new tool.</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BUG-022</w:t>
            </w:r>
          </w:p>
        </w:tc>
        <w:tc>
          <w:tcPr>
            <w:tcW w:type="dxa" w:w="1080"/>
            <w:tcBorders>
              <w:top w:val="single" w:color="D0D0D0" w:sz="4"/>
              <w:left w:val="single" w:color="D0D0D0" w:sz="4"/>
              <w:bottom w:val="single" w:color="D0D0D0" w:sz="4"/>
              <w:right w:val="single" w:color="D0D0D0" w:sz="4"/>
            </w:tcBorders>
            <w:shd w:fill="D5F5E3" w:val="clear"/>
            <w:tcMar>
              <w:top w:type="dxa" w:w="80"/>
              <w:left w:type="dxa" w:w="120"/>
              <w:bottom w:type="dxa" w:w="80"/>
              <w:right w:type="dxa" w:w="80"/>
            </w:tcMar>
          </w:tcPr>
          <w:p>
            <w:pPr>
              <w:jc w:val="center"/>
            </w:pPr>
            <w:r>
              <w:rPr>
                <w:rFonts w:ascii="Arial" w:cs="Arial" w:eastAsia="Arial" w:hAnsi="Arial"/>
                <w:b/>
                <w:bCs/>
                <w:color w:val="1E8449"/>
                <w:sz w:val="17"/>
                <w:szCs w:val="17"/>
              </w:rPr>
              <w:t xml:space="preserve">Low</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Accessibility</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Emoji used as primary UI affordances with no aria-label fallback</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Multiple interactive elements use emoji as their primary icon (search, settings, import, light/dark, push, print) with no accessible label. Screen-reader users and keyboard-only navigation have no context for what these controls do.</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BUG-023</w:t>
            </w:r>
          </w:p>
        </w:tc>
        <w:tc>
          <w:tcPr>
            <w:tcW w:type="dxa" w:w="1080"/>
            <w:tcBorders>
              <w:top w:val="single" w:color="D0D0D0" w:sz="4"/>
              <w:left w:val="single" w:color="D0D0D0" w:sz="4"/>
              <w:bottom w:val="single" w:color="D0D0D0" w:sz="4"/>
              <w:right w:val="single" w:color="D0D0D0" w:sz="4"/>
            </w:tcBorders>
            <w:shd w:fill="D5F5E3" w:val="clear"/>
            <w:tcMar>
              <w:top w:type="dxa" w:w="80"/>
              <w:left w:type="dxa" w:w="120"/>
              <w:bottom w:type="dxa" w:w="80"/>
              <w:right w:type="dxa" w:w="80"/>
            </w:tcMar>
          </w:tcPr>
          <w:p>
            <w:pPr>
              <w:jc w:val="center"/>
            </w:pPr>
            <w:r>
              <w:rPr>
                <w:rFonts w:ascii="Arial" w:cs="Arial" w:eastAsia="Arial" w:hAnsi="Arial"/>
                <w:b/>
                <w:bCs/>
                <w:color w:val="1E8449"/>
                <w:sz w:val="17"/>
                <w:szCs w:val="17"/>
              </w:rPr>
              <w:t xml:space="preserve">Low</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Content</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Pre-load buttons give no visual indication of loading progress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Clicking a pre-load case button produces no spinner, skeleton state, or success toast. Fields either update silently or do not update — the user has no feedback confirming the case loaded successfully.</w:t>
            </w:r>
          </w:p>
        </w:tc>
      </w:tr>
    </w:tbl>
    <w:p>
      <w:pPr>
        <w:spacing w:after="300"/>
      </w:pPr>
      <w:r>
        <w:t xml:space="preserve"/>
      </w:r>
    </w:p>
    <w:p>
      <w:r>
        <w:br w:type="page"/>
      </w:r>
    </w:p>
    <w:p>
      <w:pPr>
        <w:pStyle w:val="Heading1"/>
      </w:pPr>
      <w:r>
        <w:rPr>
          <w:rFonts w:ascii="Arial" w:cs="Arial" w:eastAsia="Arial" w:hAnsi="Arial"/>
        </w:rPr>
        <w:t xml:space="preserve">Section 2 — Feature Enhancements</w:t>
      </w:r>
    </w:p>
    <w:p>
      <w:pPr>
        <w:spacing w:after="200"/>
      </w:pPr>
      <w:r>
        <w:rPr>
          <w:rFonts w:ascii="Arial" w:cs="Arial" w:eastAsia="Arial" w:hAnsi="Arial"/>
          <w:color w:val="444444"/>
          <w:sz w:val="20"/>
          <w:szCs w:val="20"/>
        </w:rPr>
        <w:t xml:space="preserve">12 enhancement proposals across safety, workflow, compliance, and patient experience. Prioritised P1–P3 with effort estimates.</w:t>
      </w:r>
    </w:p>
    <w:p>
      <w:pPr>
        <w:pBdr>
          <w:bottom w:val="single" w:color="1F3864" w:sz="6" w:space="1"/>
        </w:pBdr>
        <w:spacing w:after="80" w:before="280"/>
      </w:pPr>
      <w:r>
        <w:rPr>
          <w:rFonts w:ascii="Arial" w:cs="Arial" w:eastAsia="Arial" w:hAnsi="Arial"/>
          <w:b/>
          <w:bCs/>
          <w:color w:val="1F3864"/>
          <w:sz w:val="20"/>
          <w:szCs w:val="20"/>
        </w:rPr>
        <w:t xml:space="preserve">P1 — High-impact, near-term (must ship before clinical demos)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20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Priority</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Effort</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Enhancement</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ENH-01</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P1</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C0392B"/>
                <w:sz w:val="17"/>
                <w:szCs w:val="17"/>
              </w:rPr>
              <w:t xml:space="preserve">High</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Real-time allergy-drug conflict engine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As each medication is added, immediately cross-check against entered allergy fields using a client-side drug interaction database (OpenFDA or RxNorm). Flag conflicts inline within the medication row — not as a global banner — so the physician sees exactly which drug triggered the alert. The safety audit score should dynamically recompute on every add/edit/remove event.</w:t>
            </w:r>
          </w:p>
          <w:p>
            <w:pPr>
              <w:spacing w:before="60"/>
            </w:pPr>
            <w:r>
              <w:rPr>
                <w:rFonts w:ascii="Arial" w:cs="Arial" w:eastAsia="Arial" w:hAnsi="Arial"/>
                <w:color w:val="1A5276"/>
                <w:sz w:val="16"/>
                <w:szCs w:val="16"/>
              </w:rPr>
              <w:t xml:space="preserve">Safety-critical</w:t>
            </w:r>
            <w:r>
              <w:rPr>
                <w:rFonts w:ascii="Arial" w:cs="Arial" w:eastAsia="Arial" w:hAnsi="Arial"/>
                <w:color w:val="1A5276"/>
                <w:sz w:val="16"/>
                <w:szCs w:val="16"/>
              </w:rPr>
              <w:t xml:space="preserve">  Core differentiator</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ENH-02</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P1</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1A5276"/>
                <w:sz w:val="17"/>
                <w:szCs w:val="17"/>
              </w:rPr>
              <w:t xml:space="preserve">Medium</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Functional simulated mode with offline case intelligence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The "double-engine" promise must be real. Bundle a local inference layer using pre-computed JSON templates for the 3 demo cases. When no API key is present, the Generate button uses these templates to populate all sections: AI summary, patient handout, ICD codes, and audit score. This lets hospital buyers evaluate the product without sharing an API key.</w:t>
            </w:r>
          </w:p>
          <w:p>
            <w:pPr>
              <w:spacing w:before="60"/>
            </w:pPr>
            <w:r>
              <w:rPr>
                <w:rFonts w:ascii="Arial" w:cs="Arial" w:eastAsia="Arial" w:hAnsi="Arial"/>
                <w:color w:val="1A5276"/>
                <w:sz w:val="16"/>
                <w:szCs w:val="16"/>
              </w:rPr>
              <w:t xml:space="preserve">Demo integrity</w:t>
            </w:r>
            <w:r>
              <w:rPr>
                <w:rFonts w:ascii="Arial" w:cs="Arial" w:eastAsia="Arial" w:hAnsi="Arial"/>
                <w:color w:val="1A5276"/>
                <w:sz w:val="16"/>
                <w:szCs w:val="16"/>
              </w:rPr>
              <w:t xml:space="preserve">  Conversion-critical</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ENH-03</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P1</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1A5276"/>
                <w:sz w:val="17"/>
                <w:szCs w:val="17"/>
              </w:rPr>
              <w:t xml:space="preserve">Medium</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PIN-gated physician approval with audit trail write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Replace the current sign-off button with a two-step PIN entry modal that blocks until: (a) audit score is 100%, (b) all mandatory fields are filled, and (c) the physician enters their 6-digit PIN. On success, write a timestamped, immutable log entry (physician ID, timestamp, case ID, document hash) visible in a dedicated audit trail panel.</w:t>
            </w:r>
          </w:p>
          <w:p>
            <w:pPr>
              <w:spacing w:before="60"/>
            </w:pPr>
            <w:r>
              <w:rPr>
                <w:rFonts w:ascii="Arial" w:cs="Arial" w:eastAsia="Arial" w:hAnsi="Arial"/>
                <w:color w:val="1A5276"/>
                <w:sz w:val="16"/>
                <w:szCs w:val="16"/>
              </w:rPr>
              <w:t xml:space="preserve">Regulatory</w:t>
            </w:r>
            <w:r>
              <w:rPr>
                <w:rFonts w:ascii="Arial" w:cs="Arial" w:eastAsia="Arial" w:hAnsi="Arial"/>
                <w:color w:val="1A5276"/>
                <w:sz w:val="16"/>
                <w:szCs w:val="16"/>
              </w:rPr>
              <w:t xml:space="preserve">  DPDP / ABDM</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ENH-04</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P1</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1A5276"/>
                <w:sz w:val="17"/>
                <w:szCs w:val="17"/>
              </w:rPr>
              <w:t xml:space="preserve">Medium</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Indian language toggle in patient handout (6 languages)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Implement the 6-language handout toggle (Tamil, Hindi, Kannada, Telugu, Malayalam, Marathi) promised on the homepage. For the demo build, use AI-translated static versions of the 3 pre-loaded cases. For production, call the translation API after summary generation. Language selection should persist per-patient, not per-session.</w:t>
            </w:r>
          </w:p>
          <w:p>
            <w:pPr>
              <w:spacing w:before="60"/>
            </w:pPr>
            <w:r>
              <w:rPr>
                <w:rFonts w:ascii="Arial" w:cs="Arial" w:eastAsia="Arial" w:hAnsi="Arial"/>
                <w:color w:val="1A5276"/>
                <w:sz w:val="16"/>
                <w:szCs w:val="16"/>
              </w:rPr>
              <w:t xml:space="preserve">Homepage promise</w:t>
            </w:r>
            <w:r>
              <w:rPr>
                <w:rFonts w:ascii="Arial" w:cs="Arial" w:eastAsia="Arial" w:hAnsi="Arial"/>
                <w:color w:val="1A5276"/>
                <w:sz w:val="16"/>
                <w:szCs w:val="16"/>
              </w:rPr>
              <w:t xml:space="preserve">  India-market</w:t>
            </w:r>
          </w:p>
        </w:tc>
      </w:tr>
    </w:tbl>
    <w:p>
      <w:pPr>
        <w:spacing w:after="240"/>
      </w:pPr>
      <w:r>
        <w:t xml:space="preserve"/>
      </w:r>
    </w:p>
    <w:p>
      <w:pPr>
        <w:pBdr>
          <w:bottom w:val="single" w:color="1F3864" w:sz="6" w:space="1"/>
        </w:pBdr>
        <w:spacing w:after="80" w:before="280"/>
      </w:pPr>
      <w:r>
        <w:rPr>
          <w:rFonts w:ascii="Arial" w:cs="Arial" w:eastAsia="Arial" w:hAnsi="Arial"/>
          <w:b/>
          <w:bCs/>
          <w:color w:val="1F3864"/>
          <w:sz w:val="20"/>
          <w:szCs w:val="20"/>
        </w:rPr>
        <w:t xml:space="preserve">P2 — Workflow quality of life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20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Priority</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Effort</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Enhancement</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ENH-05</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P2</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C0392B"/>
                <w:sz w:val="17"/>
                <w:szCs w:val="17"/>
              </w:rPr>
              <w:t xml:space="preserve">High</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Inline confidence flags on generated fields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Each AI-generated field should carry a coloured confidence chip: green checkmark for high-confidence source-matched content, amber triangle for low-confidence values, red X for mandatory fields that could not be filled. Physicians should click any flagged field to see the source record referenced — as shown in the homepage demo but absent from the cockpit.</w:t>
            </w:r>
          </w:p>
          <w:p>
            <w:pPr>
              <w:spacing w:before="60"/>
            </w:pPr>
            <w:r>
              <w:rPr>
                <w:rFonts w:ascii="Arial" w:cs="Arial" w:eastAsia="Arial" w:hAnsi="Arial"/>
                <w:color w:val="1A5276"/>
                <w:sz w:val="16"/>
                <w:szCs w:val="16"/>
              </w:rPr>
              <w:t xml:space="preserve">Physician trust</w:t>
            </w:r>
            <w:r>
              <w:rPr>
                <w:rFonts w:ascii="Arial" w:cs="Arial" w:eastAsia="Arial" w:hAnsi="Arial"/>
                <w:color w:val="1A5276"/>
                <w:sz w:val="16"/>
                <w:szCs w:val="16"/>
              </w:rPr>
              <w:t xml:space="preserve">  RAG grounding</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ENH-06</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P2</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1A5276"/>
                <w:sz w:val="17"/>
                <w:szCs w:val="17"/>
              </w:rPr>
              <w:t xml:space="preserve">Low-Medium</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Sticky section navigation bar</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Add a sticky left sidebar or top progress rail showing: Patient Intake → Clinical Course → Medications → Safety Audit → Sign-Off. Each node turns green as its section passes validation. Clicking a node scrolls directly to that section. On mobile, collapse into a floating bottom pill.</w:t>
            </w:r>
          </w:p>
          <w:p>
            <w:pPr>
              <w:spacing w:before="60"/>
            </w:pPr>
            <w:r>
              <w:rPr>
                <w:rFonts w:ascii="Arial" w:cs="Arial" w:eastAsia="Arial" w:hAnsi="Arial"/>
                <w:color w:val="1A5276"/>
                <w:sz w:val="16"/>
                <w:szCs w:val="16"/>
              </w:rPr>
              <w:t xml:space="preserve">Navigation</w:t>
            </w:r>
            <w:r>
              <w:rPr>
                <w:rFonts w:ascii="Arial" w:cs="Arial" w:eastAsia="Arial" w:hAnsi="Arial"/>
                <w:color w:val="1A5276"/>
                <w:sz w:val="16"/>
                <w:szCs w:val="16"/>
              </w:rPr>
              <w:t xml:space="preserve">  Workflow speed</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ENH-07</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P2</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1A5276"/>
                <w:sz w:val="17"/>
                <w:szCs w:val="17"/>
              </w:rPr>
              <w:t xml:space="preserve">Medium</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ICD-10 auto-suggest on diagnosis fields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As the physician types in the Primary Diagnosis field, surface a dropdown of matching ICD-10 codes and parallel ICD-11 annotations using a client-side coded terminology lookup. The physician confirms one code. This removes a manual coding step, drives the NHCX accuracy metric, and demonstrates a headline feature from the product page.</w:t>
            </w:r>
          </w:p>
          <w:p>
            <w:pPr>
              <w:spacing w:before="60"/>
            </w:pPr>
            <w:r>
              <w:rPr>
                <w:rFonts w:ascii="Arial" w:cs="Arial" w:eastAsia="Arial" w:hAnsi="Arial"/>
                <w:color w:val="1A5276"/>
                <w:sz w:val="16"/>
                <w:szCs w:val="16"/>
              </w:rPr>
              <w:t xml:space="preserve">ICD-10 / ICD-11</w:t>
            </w:r>
            <w:r>
              <w:rPr>
                <w:rFonts w:ascii="Arial" w:cs="Arial" w:eastAsia="Arial" w:hAnsi="Arial"/>
                <w:color w:val="1A5276"/>
                <w:sz w:val="16"/>
                <w:szCs w:val="16"/>
              </w:rPr>
              <w:t xml:space="preserve">  NHCX readiness</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ENH-08</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P2</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1A5276"/>
                <w:sz w:val="17"/>
                <w:szCs w:val="17"/>
              </w:rPr>
              <w:t xml:space="preserve">Medium</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Medication row auto-complete with dosing defaults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When adding a drug, the prescription field should trigger autocomplete against a standard formulary (generic Indian brands). On selection, pre-fill the default dosage, frequency, and patient instruction template for that drug class. The physician edits only exceptions, reducing transcription errors and speeding medication reconciliation.</w:t>
            </w:r>
          </w:p>
          <w:p>
            <w:pPr>
              <w:spacing w:before="60"/>
            </w:pPr>
            <w:r>
              <w:rPr>
                <w:rFonts w:ascii="Arial" w:cs="Arial" w:eastAsia="Arial" w:hAnsi="Arial"/>
                <w:color w:val="1A5276"/>
                <w:sz w:val="16"/>
                <w:szCs w:val="16"/>
              </w:rPr>
              <w:t xml:space="preserve">Medication safety</w:t>
            </w:r>
            <w:r>
              <w:rPr>
                <w:rFonts w:ascii="Arial" w:cs="Arial" w:eastAsia="Arial" w:hAnsi="Arial"/>
                <w:color w:val="1A5276"/>
                <w:sz w:val="16"/>
                <w:szCs w:val="16"/>
              </w:rPr>
              <w:t xml:space="preserve">  Speed</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ENH-09</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P2</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C0392B"/>
                <w:sz w:val="17"/>
                <w:szCs w:val="17"/>
              </w:rPr>
              <w:t xml:space="preserve">High</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Dictation: live entity extraction preview</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After the physician finishes pasting or dictating a note, display a side panel showing extracted entities: Diagnoses, Drugs, Vitals, Dates, Allergies. Each entity should have an "Accept" chip that writes it to the corresponding field. This makes the "Aura parses fields dynamically" promise visible and verifiable.</w:t>
            </w:r>
          </w:p>
          <w:p>
            <w:pPr>
              <w:spacing w:before="60"/>
            </w:pPr>
            <w:r>
              <w:rPr>
                <w:rFonts w:ascii="Arial" w:cs="Arial" w:eastAsia="Arial" w:hAnsi="Arial"/>
                <w:color w:val="1A5276"/>
                <w:sz w:val="16"/>
                <w:szCs w:val="16"/>
              </w:rPr>
              <w:t xml:space="preserve">AI transparency</w:t>
            </w:r>
            <w:r>
              <w:rPr>
                <w:rFonts w:ascii="Arial" w:cs="Arial" w:eastAsia="Arial" w:hAnsi="Arial"/>
                <w:color w:val="1A5276"/>
                <w:sz w:val="16"/>
                <w:szCs w:val="16"/>
              </w:rPr>
              <w:t xml:space="preserve">  Core feature</w:t>
            </w:r>
          </w:p>
        </w:tc>
      </w:tr>
    </w:tbl>
    <w:p>
      <w:pPr>
        <w:spacing w:after="240"/>
      </w:pPr>
      <w:r>
        <w:t xml:space="preserve"/>
      </w:r>
    </w:p>
    <w:p>
      <w:pPr>
        <w:pBdr>
          <w:bottom w:val="single" w:color="1F3864" w:sz="6" w:space="1"/>
        </w:pBdr>
        <w:spacing w:after="80" w:before="280"/>
      </w:pPr>
      <w:r>
        <w:rPr>
          <w:rFonts w:ascii="Arial" w:cs="Arial" w:eastAsia="Arial" w:hAnsi="Arial"/>
          <w:b/>
          <w:bCs/>
          <w:color w:val="1F3864"/>
          <w:sz w:val="20"/>
          <w:szCs w:val="20"/>
        </w:rPr>
        <w:t xml:space="preserve">P3 — Strategic differentiators (medium to long term)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20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Priority</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Effort</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Enhancement</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ENH-10</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P3</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C0392B"/>
                <w:sz w:val="17"/>
                <w:szCs w:val="17"/>
              </w:rPr>
              <w:t xml:space="preserve">High</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Patient queue sidebar (ward-level view)</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Recreate the "patient queue" panel shown in the homepage demo inside the cockpit. Show pending, in-review, and approved cases for the current ward. A physician should switch between patients without returning to a separate screen. Include a priority indicator for cases with open critical flags.</w:t>
            </w:r>
          </w:p>
          <w:p>
            <w:pPr>
              <w:spacing w:before="60"/>
            </w:pPr>
            <w:r>
              <w:rPr>
                <w:rFonts w:ascii="Arial" w:cs="Arial" w:eastAsia="Arial" w:hAnsi="Arial"/>
                <w:color w:val="1A5276"/>
                <w:sz w:val="16"/>
                <w:szCs w:val="16"/>
              </w:rPr>
              <w:t xml:space="preserve">Workflow</w:t>
            </w:r>
            <w:r>
              <w:rPr>
                <w:rFonts w:ascii="Arial" w:cs="Arial" w:eastAsia="Arial" w:hAnsi="Arial"/>
                <w:color w:val="1A5276"/>
                <w:sz w:val="16"/>
                <w:szCs w:val="16"/>
              </w:rPr>
              <w:t xml:space="preserve">  Ward-level</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ENH-11</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P3</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8E44AD"/>
                <w:sz w:val="17"/>
                <w:szCs w:val="17"/>
              </w:rPr>
              <w:t xml:space="preserve">Very High</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NHCX one-click export with pre-submission validation</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Add an "Export to NHCX" action post-sign-off. Before export, run a claim field checklist and surface any missing mandatory NHCX fields with specific fix prompts. On successful validation, generate a FHIR R4 Composition JSON bundle. This closes the loop on the 96%+ first-pass acceptance rate claim.</w:t>
            </w:r>
          </w:p>
          <w:p>
            <w:pPr>
              <w:spacing w:before="60"/>
            </w:pPr>
            <w:r>
              <w:rPr>
                <w:rFonts w:ascii="Arial" w:cs="Arial" w:eastAsia="Arial" w:hAnsi="Arial"/>
                <w:color w:val="1A5276"/>
                <w:sz w:val="16"/>
                <w:szCs w:val="16"/>
              </w:rPr>
              <w:t xml:space="preserve">NHCX</w:t>
            </w:r>
            <w:r>
              <w:rPr>
                <w:rFonts w:ascii="Arial" w:cs="Arial" w:eastAsia="Arial" w:hAnsi="Arial"/>
                <w:color w:val="1A5276"/>
                <w:sz w:val="16"/>
                <w:szCs w:val="16"/>
              </w:rPr>
              <w:t xml:space="preserve">  ABDM/FHIR</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ENH-12</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P3</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C0392B"/>
                <w:sz w:val="17"/>
                <w:szCs w:val="17"/>
              </w:rPr>
              <w:t xml:space="preserve">High</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WhatsApp / ABHA QR delivery of patient handout</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80"/>
            </w:pPr>
            <w:r>
              <w:rPr>
                <w:rFonts w:ascii="Arial" w:cs="Arial" w:eastAsia="Arial" w:hAnsi="Arial"/>
                <w:color w:val="333333"/>
                <w:sz w:val="18"/>
                <w:szCs w:val="18"/>
              </w:rPr>
              <w:t xml:space="preserve">Implement the "Push" button to trigger a WhatsApp message (via WhatsApp Business API) with the plain-language summary PDF to the patient's registered mobile number. Generate and display an ABHA QR code linking the summary to the patient's ABHA health locker. This is a concrete, demonstrable patient-experience differentiator for Indian hospital buyers.</w:t>
            </w:r>
          </w:p>
          <w:p>
            <w:pPr>
              <w:spacing w:before="60"/>
            </w:pPr>
            <w:r>
              <w:rPr>
                <w:rFonts w:ascii="Arial" w:cs="Arial" w:eastAsia="Arial" w:hAnsi="Arial"/>
                <w:color w:val="1A5276"/>
                <w:sz w:val="16"/>
                <w:szCs w:val="16"/>
              </w:rPr>
              <w:t xml:space="preserve">Patient experience</w:t>
            </w:r>
            <w:r>
              <w:rPr>
                <w:rFonts w:ascii="Arial" w:cs="Arial" w:eastAsia="Arial" w:hAnsi="Arial"/>
                <w:color w:val="1A5276"/>
                <w:sz w:val="16"/>
                <w:szCs w:val="16"/>
              </w:rPr>
              <w:t xml:space="preserve">  ABHA</w:t>
            </w:r>
          </w:p>
        </w:tc>
      </w:tr>
    </w:tbl>
    <w:p>
      <w:pPr>
        <w:spacing w:after="300"/>
      </w:pPr>
      <w:r>
        <w:t xml:space="preserve"/>
      </w:r>
    </w:p>
    <w:p>
      <w:r>
        <w:br w:type="page"/>
      </w:r>
    </w:p>
    <w:p>
      <w:pPr>
        <w:pStyle w:val="Heading1"/>
      </w:pPr>
      <w:r>
        <w:rPr>
          <w:rFonts w:ascii="Arial" w:cs="Arial" w:eastAsia="Arial" w:hAnsi="Arial"/>
        </w:rPr>
        <w:t xml:space="preserve">Section 3 — Compliance Gaps</w:t>
      </w:r>
    </w:p>
    <w:p>
      <w:pPr>
        <w:spacing w:after="200"/>
      </w:pPr>
      <w:r>
        <w:rPr>
          <w:rFonts w:ascii="Arial" w:cs="Arial" w:eastAsia="Arial" w:hAnsi="Arial"/>
          <w:color w:val="444444"/>
          <w:sz w:val="20"/>
          <w:szCs w:val="20"/>
        </w:rPr>
        <w:t xml:space="preserve">5 compliance issues identified against DPDP Act 2023, ABDM / FHIR R4, NHCX, and clinical safety standards.</w:t>
      </w:r>
    </w:p>
    <w:p>
      <w:pPr>
        <w:pBdr>
          <w:bottom w:val="single" w:color="1F3864" w:sz="6" w:space="1"/>
        </w:pBdr>
        <w:spacing w:after="80" w:before="280"/>
      </w:pPr>
      <w:r>
        <w:rPr>
          <w:rFonts w:ascii="Arial" w:cs="Arial" w:eastAsia="Arial" w:hAnsi="Arial"/>
          <w:b/>
          <w:bCs/>
          <w:color w:val="1F3864"/>
          <w:sz w:val="20"/>
          <w:szCs w:val="20"/>
        </w:rPr>
        <w:t xml:space="preserve">DPDP Act 2023 — Data Privacy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8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Framework</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Gap level</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Finding</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COMP-01</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Critical gap</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DPDP 2023</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No data processing consent notice at session start</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Under DPDP 2023, processing of health data requires explicit, informed consent. The cockpit begins directly with patient intake fields — no consent disclosure, purpose limitation notice, or session-scope acknowledgement is presented. Even for a demo build shown to hospital procurement teams, this absence signals a compliance blind spot.</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COMP-02</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 gap</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Audit Trail</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No immutable audit log visible in the UI</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DPDP and ABDM compliance both require a complete, tamper-evident audit trail of all data access and modification events. No such log is surfaced anywhere in the cockpit. The product homepage claims "100% audit trail — DPDP compliant" — this claim is not demonstrated in the actual product interface.</w:t>
            </w:r>
          </w:p>
        </w:tc>
      </w:tr>
    </w:tbl>
    <w:p>
      <w:pPr>
        <w:spacing w:after="200"/>
      </w:pPr>
      <w:r>
        <w:t xml:space="preserve"/>
      </w:r>
    </w:p>
    <w:p>
      <w:pPr>
        <w:pBdr>
          <w:bottom w:val="single" w:color="1F3864" w:sz="6" w:space="1"/>
        </w:pBdr>
        <w:spacing w:after="80" w:before="280"/>
      </w:pPr>
      <w:r>
        <w:rPr>
          <w:rFonts w:ascii="Arial" w:cs="Arial" w:eastAsia="Arial" w:hAnsi="Arial"/>
          <w:b/>
          <w:bCs/>
          <w:color w:val="1F3864"/>
          <w:sz w:val="20"/>
          <w:szCs w:val="20"/>
        </w:rPr>
        <w:t xml:space="preserve">ABDM / FHIR R4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8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Framework</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Gap level</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Finding</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COMP-03</w:t>
            </w:r>
          </w:p>
        </w:tc>
        <w:tc>
          <w:tcPr>
            <w:tcW w:type="dxa" w:w="1080"/>
            <w:tcBorders>
              <w:top w:val="single" w:color="D0D0D0" w:sz="4"/>
              <w:left w:val="single" w:color="D0D0D0" w:sz="4"/>
              <w:bottom w:val="single" w:color="D0D0D0" w:sz="4"/>
              <w:right w:val="single" w:color="D0D0D0" w:sz="4"/>
            </w:tcBorders>
            <w:shd w:fill="FEF3CD" w:val="clear"/>
            <w:tcMar>
              <w:top w:type="dxa" w:w="80"/>
              <w:left w:type="dxa" w:w="120"/>
              <w:bottom w:type="dxa" w:w="80"/>
              <w:right w:type="dxa" w:w="80"/>
            </w:tcMar>
          </w:tcPr>
          <w:p>
            <w:pPr>
              <w:jc w:val="center"/>
            </w:pPr>
            <w:r>
              <w:rPr>
                <w:rFonts w:ascii="Arial" w:cs="Arial" w:eastAsia="Arial" w:hAnsi="Arial"/>
                <w:b/>
                <w:bCs/>
                <w:color w:val="856404"/>
                <w:sz w:val="17"/>
                <w:szCs w:val="17"/>
              </w:rPr>
              <w:t xml:space="preserve">High gap</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ABDM</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No ABHA ID field in patient intake form</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ABDM integration requires linking all health records to the patient's Ayushman Bharat Health Account (ABHA) ID. The intake form has MRN/IP Number but no ABHA ID field. FHIR R4 Composition output without an ABHA reference cannot be submitted to ABDM-compliant HIPs.</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COMP-04</w:t>
            </w:r>
          </w:p>
        </w:tc>
        <w:tc>
          <w:tcPr>
            <w:tcW w:type="dxa" w:w="108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80"/>
            </w:tcMar>
          </w:tcPr>
          <w:p>
            <w:pPr>
              <w:jc w:val="center"/>
            </w:pPr>
            <w:r>
              <w:rPr>
                <w:rFonts w:ascii="Arial" w:cs="Arial" w:eastAsia="Arial" w:hAnsi="Arial"/>
                <w:b/>
                <w:bCs/>
                <w:color w:val="1A5276"/>
                <w:sz w:val="17"/>
                <w:szCs w:val="17"/>
              </w:rPr>
              <w:t xml:space="preserve">Medium gap</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ICD Coding</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No ICD-10 code capture in diagnosis fields</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Primary &amp; Secondary Diagnosis field is a free-text input. No ICD-10 code is captured or attached. NHCX claim submission and ABDM Composition resources require structured ICD codes — free text alone will fail validation at the exchange layer.</w:t>
            </w:r>
          </w:p>
        </w:tc>
      </w:tr>
    </w:tbl>
    <w:p>
      <w:pPr>
        <w:spacing w:after="200"/>
      </w:pPr>
      <w:r>
        <w:t xml:space="preserve"/>
      </w:r>
    </w:p>
    <w:p>
      <w:pPr>
        <w:pBdr>
          <w:bottom w:val="single" w:color="1F3864" w:sz="6" w:space="1"/>
        </w:pBdr>
        <w:spacing w:after="80" w:before="280"/>
      </w:pPr>
      <w:r>
        <w:rPr>
          <w:rFonts w:ascii="Arial" w:cs="Arial" w:eastAsia="Arial" w:hAnsi="Arial"/>
          <w:b/>
          <w:bCs/>
          <w:color w:val="1F3864"/>
          <w:sz w:val="20"/>
          <w:szCs w:val="20"/>
        </w:rPr>
        <w:t xml:space="preserve">Clinical safety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80"/>
        <w:gridCol w:w="6180"/>
      </w:tblGrid>
      <w:tr>
        <w:trPr>
          <w:tblHeader/>
        </w:trPr>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Framework</w:t>
            </w:r>
          </w:p>
        </w:tc>
        <w:tc>
          <w:tcPr>
            <w:tcW w:type="dxa" w:w="10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Gap level</w:t>
            </w:r>
          </w:p>
        </w:tc>
        <w:tc>
          <w:tcPr>
            <w:tcW w:type="dxa" w:w="618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Finding</w:t>
            </w:r>
          </w:p>
        </w:tc>
      </w:tr>
      <w:tr>
        <w:tc>
          <w:tcPr>
            <w:tcW w:type="dxa" w:w="900"/>
            <w:tcBorders>
              <w:top w:val="single" w:color="D0D0D0" w:sz="4"/>
              <w:left w:val="single" w:color="D0D0D0" w:sz="4"/>
              <w:bottom w:val="single" w:color="D0D0D0" w:sz="4"/>
              <w:right w:val="single" w:color="D0D0D0" w:sz="4"/>
            </w:tcBorders>
            <w:shd w:fill="F4F4F4" w:val="clear"/>
            <w:tcMar>
              <w:top w:type="dxa" w:w="80"/>
              <w:left w:type="dxa" w:w="120"/>
              <w:bottom w:type="dxa" w:w="80"/>
              <w:right w:type="dxa" w:w="80"/>
            </w:tcMar>
          </w:tcPr>
          <w:p>
            <w:r>
              <w:rPr>
                <w:rFonts w:ascii="Courier New" w:cs="Courier New" w:eastAsia="Courier New" w:hAnsi="Courier New"/>
                <w:b/>
                <w:bCs/>
                <w:color w:val="555555"/>
                <w:sz w:val="18"/>
                <w:szCs w:val="18"/>
              </w:rPr>
              <w:t xml:space="preserve">COMP-05</w:t>
            </w:r>
          </w:p>
        </w:tc>
        <w:tc>
          <w:tcPr>
            <w:tcW w:type="dxa" w:w="1080"/>
            <w:tcBorders>
              <w:top w:val="single" w:color="D0D0D0" w:sz="4"/>
              <w:left w:val="single" w:color="D0D0D0" w:sz="4"/>
              <w:bottom w:val="single" w:color="D0D0D0" w:sz="4"/>
              <w:right w:val="single" w:color="D0D0D0" w:sz="4"/>
            </w:tcBorders>
            <w:shd w:fill="FCE4E4" w:val="clear"/>
            <w:tcMar>
              <w:top w:type="dxa" w:w="80"/>
              <w:left w:type="dxa" w:w="120"/>
              <w:bottom w:type="dxa" w:w="80"/>
              <w:right w:type="dxa" w:w="80"/>
            </w:tcMar>
          </w:tcPr>
          <w:p>
            <w:pPr>
              <w:jc w:val="center"/>
            </w:pPr>
            <w:r>
              <w:rPr>
                <w:rFonts w:ascii="Arial" w:cs="Arial" w:eastAsia="Arial" w:hAnsi="Arial"/>
                <w:b/>
                <w:bCs/>
                <w:color w:val="C0392B"/>
                <w:sz w:val="17"/>
                <w:szCs w:val="17"/>
              </w:rPr>
              <w:t xml:space="preserve">Critical gap</w:t>
            </w:r>
          </w:p>
        </w:tc>
        <w:tc>
          <w:tcPr>
            <w:tcW w:type="dxa" w:w="1200"/>
            <w:tcBorders>
              <w:top w:val="single" w:color="D0D0D0" w:sz="4"/>
              <w:left w:val="single" w:color="D0D0D0" w:sz="4"/>
              <w:bottom w:val="single" w:color="D0D0D0" w:sz="4"/>
              <w:right w:val="single" w:color="D0D0D0" w:sz="4"/>
            </w:tcBorders>
            <w:shd w:fill="EFEFEF" w:val="clear"/>
            <w:tcMar>
              <w:top w:type="dxa" w:w="80"/>
              <w:left w:type="dxa" w:w="120"/>
              <w:bottom w:type="dxa" w:w="80"/>
              <w:right w:type="dxa" w:w="80"/>
            </w:tcMar>
          </w:tcPr>
          <w:p>
            <w:r>
              <w:rPr>
                <w:rFonts w:ascii="Arial" w:cs="Arial" w:eastAsia="Arial" w:hAnsi="Arial"/>
                <w:color w:val="444444"/>
                <w:sz w:val="17"/>
                <w:szCs w:val="17"/>
              </w:rPr>
              <w:t xml:space="preserve">Clinical Safety</w:t>
            </w:r>
          </w:p>
        </w:tc>
        <w:tc>
          <w:tcPr>
            <w:tcW w:type="dxa" w:w="6180"/>
            <w:tcBorders>
              <w:top w:val="single" w:color="D0D0D0" w:sz="4"/>
              <w:left w:val="single" w:color="D0D0D0" w:sz="4"/>
              <w:bottom w:val="single" w:color="D0D0D0" w:sz="4"/>
              <w:right w:val="single" w:color="D0D0D0" w:sz="4"/>
            </w:tcBorders>
            <w:shd w:fill="FAFAFA" w:val="clear"/>
            <w:tcMar>
              <w:top w:type="dxa" w:w="80"/>
              <w:left w:type="dxa" w:w="120"/>
              <w:bottom w:type="dxa" w:w="80"/>
              <w:right w:type="dxa" w:w="120"/>
            </w:tcMar>
          </w:tcPr>
          <w:p>
            <w:r>
              <w:rPr>
                <w:rFonts w:ascii="Arial" w:cs="Arial" w:eastAsia="Arial" w:hAnsi="Arial"/>
                <w:b/>
                <w:bCs/>
                <w:color w:val="1F1F1F"/>
                <w:sz w:val="19"/>
                <w:szCs w:val="19"/>
              </w:rPr>
              <w:t xml:space="preserve">NYU Clinical Gate described but methodology not disclosed or verifiable</w:t>
            </w:r>
          </w:p>
        </w:tc>
      </w:tr>
      <w:tr>
        <w:tc>
          <w:tcPr>
            <w:tcW w:type="dxa" w:w="9360"/>
            <w:gridSpan w:val="4"/>
            <w:tcBorders>
              <w:top w:val="single" w:color="D0D0D0" w:sz="4"/>
              <w:left w:val="single" w:color="D0D0D0" w:sz="4"/>
              <w:bottom w:val="single" w:color="D0D0D0" w:sz="4"/>
              <w:right w:val="single" w:color="D0D0D0" w:sz="4"/>
            </w:tcBorders>
            <w:shd w:fill="FFFFFF" w:val="clear"/>
            <w:tcMar>
              <w:top w:type="dxa" w:w="80"/>
              <w:left w:type="dxa" w:w="200"/>
              <w:bottom w:type="dxa" w:w="100"/>
              <w:right w:type="dxa" w:w="200"/>
            </w:tcMar>
          </w:tcPr>
          <w:p>
            <w:pPr>
              <w:spacing w:after="0"/>
            </w:pPr>
            <w:r>
              <w:rPr>
                <w:rFonts w:ascii="Arial" w:cs="Arial" w:eastAsia="Arial" w:hAnsi="Arial"/>
                <w:color w:val="333333"/>
                <w:sz w:val="18"/>
                <w:szCs w:val="18"/>
              </w:rPr>
              <w:t xml:space="preserve">The safety audit block references "NYU Clinical Gate" as its governing standard. No link to the protocol, version, or implementation source is provided. Clinical buyers and medical directors cannot validate whether the audit rules match the cited institution's guidelines. A safety gate with unverifiable methodology is a liability risk.</w:t>
            </w:r>
          </w:p>
        </w:tc>
      </w:tr>
    </w:tbl>
    <w:p>
      <w:pPr>
        <w:spacing w:after="400"/>
      </w:pPr>
      <w:r>
        <w:t xml:space="preserve"/>
      </w:r>
    </w:p>
    <w:p>
      <w:pPr>
        <w:pStyle w:val="Heading1"/>
      </w:pPr>
      <w:r>
        <w:rPr>
          <w:rFonts w:ascii="Arial" w:cs="Arial" w:eastAsia="Arial" w:hAnsi="Arial"/>
        </w:rPr>
        <w:t xml:space="preserve">Summary Recommendations</w:t>
      </w:r>
    </w:p>
    <w:p>
      <w:pPr>
        <w:spacing w:after="80"/>
      </w:pPr>
      <w:r>
        <w:rPr>
          <w:rFonts w:ascii="Arial" w:cs="Arial" w:eastAsia="Arial" w:hAnsi="Arial"/>
          <w:b/>
          <w:bCs/>
          <w:color w:val="1F3864"/>
          <w:sz w:val="22"/>
          <w:szCs w:val="22"/>
        </w:rPr>
        <w:t xml:space="preserve">Immediate blockers (before any clinical demo)</w:t>
      </w:r>
    </w:p>
    <w:p>
      <w:pPr>
        <w:pStyle w:val="ListParagraph"/>
        <w:numPr>
          <w:ilvl w:val="0"/>
          <w:numId w:val="2"/>
        </w:numPr>
        <w:spacing w:after="60"/>
      </w:pPr>
      <w:r>
        <w:rPr>
          <w:rFonts w:ascii="Arial" w:cs="Arial" w:eastAsia="Arial" w:hAnsi="Arial"/>
          <w:color w:val="333333"/>
          <w:sz w:val="18"/>
          <w:szCs w:val="18"/>
        </w:rPr>
        <w:t xml:space="preserve">BUG-001: Fix the contradictory dual-banner safety audit state — this is the first thing any physician sees.</w:t>
      </w:r>
    </w:p>
    <w:p>
      <w:pPr>
        <w:pStyle w:val="ListParagraph"/>
        <w:numPr>
          <w:ilvl w:val="0"/>
          <w:numId w:val="2"/>
        </w:numPr>
        <w:spacing w:after="60"/>
      </w:pPr>
      <w:r>
        <w:rPr>
          <w:rFonts w:ascii="Arial" w:cs="Arial" w:eastAsia="Arial" w:hAnsi="Arial"/>
          <w:color w:val="333333"/>
          <w:sz w:val="18"/>
          <w:szCs w:val="18"/>
        </w:rPr>
        <w:t xml:space="preserve">BUG-003: Make the simulated mode functional so the product can be evaluated without a Gemini API key.</w:t>
      </w:r>
    </w:p>
    <w:p>
      <w:pPr>
        <w:pStyle w:val="ListParagraph"/>
        <w:numPr>
          <w:ilvl w:val="0"/>
          <w:numId w:val="2"/>
        </w:numPr>
        <w:spacing w:after="60"/>
      </w:pPr>
      <w:r>
        <w:rPr>
          <w:rFonts w:ascii="Arial" w:cs="Arial" w:eastAsia="Arial" w:hAnsi="Arial"/>
          <w:color w:val="333333"/>
          <w:sz w:val="18"/>
          <w:szCs w:val="18"/>
        </w:rPr>
        <w:t xml:space="preserve">BUG-010 + BUG-019: Replace hardcoded "John Doe" and New York address with Indian demo data before any hospital-facing demo.</w:t>
      </w:r>
    </w:p>
    <w:p>
      <w:pPr>
        <w:pStyle w:val="ListParagraph"/>
        <w:numPr>
          <w:ilvl w:val="0"/>
          <w:numId w:val="2"/>
        </w:numPr>
        <w:spacing w:after="60"/>
      </w:pPr>
      <w:r>
        <w:rPr>
          <w:rFonts w:ascii="Arial" w:cs="Arial" w:eastAsia="Arial" w:hAnsi="Arial"/>
          <w:color w:val="333333"/>
          <w:sz w:val="18"/>
          <w:szCs w:val="18"/>
        </w:rPr>
        <w:t xml:space="preserve">ENH-03: Implement PIN-gated approval — the core product promise cannot be demonstrated without it.</w:t>
      </w:r>
    </w:p>
    <w:p>
      <w:pPr>
        <w:spacing w:after="160"/>
      </w:pPr>
      <w:r>
        <w:t xml:space="preserve"/>
      </w:r>
    </w:p>
    <w:p>
      <w:pPr>
        <w:spacing w:after="80"/>
      </w:pPr>
      <w:r>
        <w:rPr>
          <w:rFonts w:ascii="Arial" w:cs="Arial" w:eastAsia="Arial" w:hAnsi="Arial"/>
          <w:b/>
          <w:bCs/>
          <w:color w:val="1F3864"/>
          <w:sz w:val="22"/>
          <w:szCs w:val="22"/>
        </w:rPr>
        <w:t xml:space="preserve">Highest-ROI enhancements for hospital buyer conversion</w:t>
      </w:r>
    </w:p>
    <w:p>
      <w:pPr>
        <w:pStyle w:val="ListParagraph"/>
        <w:numPr>
          <w:ilvl w:val="0"/>
          <w:numId w:val="2"/>
        </w:numPr>
        <w:spacing w:after="60"/>
      </w:pPr>
      <w:r>
        <w:rPr>
          <w:rFonts w:ascii="Arial" w:cs="Arial" w:eastAsia="Arial" w:hAnsi="Arial"/>
          <w:color w:val="333333"/>
          <w:sz w:val="18"/>
          <w:szCs w:val="18"/>
        </w:rPr>
        <w:t xml:space="preserve">ENH-01: Real-time allergy-drug conflict engine — makes the safety audit score meaningful and earns physician trust.</w:t>
      </w:r>
    </w:p>
    <w:p>
      <w:pPr>
        <w:pStyle w:val="ListParagraph"/>
        <w:numPr>
          <w:ilvl w:val="0"/>
          <w:numId w:val="2"/>
        </w:numPr>
        <w:spacing w:after="60"/>
      </w:pPr>
      <w:r>
        <w:rPr>
          <w:rFonts w:ascii="Arial" w:cs="Arial" w:eastAsia="Arial" w:hAnsi="Arial"/>
          <w:color w:val="333333"/>
          <w:sz w:val="18"/>
          <w:szCs w:val="18"/>
        </w:rPr>
        <w:t xml:space="preserve">ENH-04: Indian language support — directly validates the 6-language promise on the homepage to Tamil Nadu and Karnataka buyers.</w:t>
      </w:r>
    </w:p>
    <w:p>
      <w:pPr>
        <w:pStyle w:val="ListParagraph"/>
        <w:numPr>
          <w:ilvl w:val="0"/>
          <w:numId w:val="2"/>
        </w:numPr>
        <w:spacing w:after="60"/>
      </w:pPr>
      <w:r>
        <w:rPr>
          <w:rFonts w:ascii="Arial" w:cs="Arial" w:eastAsia="Arial" w:hAnsi="Arial"/>
          <w:color w:val="333333"/>
          <w:sz w:val="18"/>
          <w:szCs w:val="18"/>
        </w:rPr>
        <w:t xml:space="preserve">ENH-07: ICD-10 auto-suggest — removes the single most time-consuming manual step in the discharge workflow.</w:t>
      </w:r>
    </w:p>
    <w:p>
      <w:pPr>
        <w:pStyle w:val="ListParagraph"/>
        <w:numPr>
          <w:ilvl w:val="0"/>
          <w:numId w:val="2"/>
        </w:numPr>
        <w:spacing w:after="60"/>
      </w:pPr>
      <w:r>
        <w:rPr>
          <w:rFonts w:ascii="Arial" w:cs="Arial" w:eastAsia="Arial" w:hAnsi="Arial"/>
          <w:color w:val="333333"/>
          <w:sz w:val="18"/>
          <w:szCs w:val="18"/>
        </w:rPr>
        <w:t xml:space="preserve">ENH-11: NHCX export — closes the loop on the 96%+ first-pass claim and makes the product billable-workflow-ready.</w:t>
      </w:r>
    </w:p>
    <w:p>
      <w:pPr>
        <w:spacing w:after="300"/>
      </w:pPr>
      <w:r>
        <w:t xml:space="preserve"/>
      </w:r>
    </w:p>
    <w:p>
      <w:pPr>
        <w:pBdr>
          <w:top w:val="single" w:color="CCCCCC" w:sz="4" w:space="1"/>
        </w:pBdr>
        <w:spacing w:before="120"/>
      </w:pPr>
      <w:r>
        <w:rPr>
          <w:rFonts w:ascii="Arial" w:cs="Arial" w:eastAsia="Arial" w:hAnsi="Arial"/>
          <w:color w:val="AAAAAA"/>
          <w:sz w:val="16"/>
          <w:szCs w:val="16"/>
        </w:rPr>
        <w:t xml:space="preserve">End of Report — Aura Workspace QA &amp; Product Testing Report — 26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color w:val="888888"/>
        <w:sz w:val="16"/>
        <w:szCs w:val="16"/>
      </w:rPr>
      <w:t xml:space="preserve">QA Testing Agent + PM Review  |  Audit date: 26 May 2026  |  Build: v0-preview</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00"/>
    </w:pPr>
    <w:r>
      <w:rPr>
        <w:rFonts w:ascii="Arial" w:cs="Arial" w:eastAsia="Arial" w:hAnsi="Arial"/>
        <w:color w:val="1F3864"/>
        <w:sz w:val="18"/>
        <w:szCs w:val="18"/>
      </w:rPr>
      <w:t xml:space="preserve">Aura Workspace — Physician Review Cockpit  |  QA &amp; Product Testing Report</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4C7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2026-05-26T10:10:04.759Z</dcterms:created>
  <dcterms:modified xsi:type="dcterms:W3CDTF">2026-05-26T10:10:04.759Z</dcterms:modified>
</cp:coreProperties>
</file>

<file path=docProps/custom.xml><?xml version="1.0" encoding="utf-8"?>
<Properties xmlns="http://schemas.openxmlformats.org/officeDocument/2006/custom-properties" xmlns:vt="http://schemas.openxmlformats.org/officeDocument/2006/docPropsVTypes"/>
</file>