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Linda</w:t>
      </w:r>
    </w:p>
    <w:p>
      <w:r>
        <w:rPr>
          <w:b w:val="0"/>
          <w:i/>
          <w:color w:val="707070"/>
          <w:sz w:val="19"/>
        </w:rPr>
        <w:t>Carbon8 - 14 opportunity cards - generated 2026-06-15 -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Better Built Homes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$2,930 in the last 12 months   (deck #1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Demi Patsiokostas &lt;demi@betterbuilthomes.com.au&gt; - confirm contact - stale &gt;90d (last active 2024-03-20)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(demi@betterbuilthomes.com.au) is NOT the loudest contact (demi.p@betterbuilthomes.com.au, 87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262 days ago; they typically reorder about every 41 days, so they're past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All Print Matters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$1,962 in the last 12 months   (deck #4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Tony Tanner &lt;tonyt@allprintmatters.com.au&gt; - active (last active 2026-05-31)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(11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47 days ago; they typically reorder about every 45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Plus Agency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$1,855 in the last 12 months   (deck #13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Fiona Yang &lt;fiona.yang@plusagency.com.au&gt;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(fiona.yang@plusagency.com.au) is NOT the loudest contact (marketing@plusagency.com.au, 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Soft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80% of customers who buy Hard Cover Books also buy Soft Cover Books, about 2.9 times more likely than the average customer (28% normally). Buys hard cover books (2 jobs) but has 0 jobs in soft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Soft Cover Books carries no strong industry signal for Property &amp; Real Estate;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290 days ago; they typically reorder about every 219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4. J A Wales Printing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$10,686 in the last 12 months   (deck #16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Justin Bevan &lt;justin@jawales.com.au&gt; - active (last active 2026-06-02)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(justin@jawales.com.au) is NOT the loudest contact (warren@jawales.com.au, 86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(8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17 days ago; they typically reorder about every 42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5. The One Centre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$201 in the last 12 months   (deck #26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Katie Molloy &lt;katie.molloy@theonecentre.com&gt; - confirm contact - stale &gt;90d (last active 2025-11-27)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(4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332 days ago; they typically reorder about every 214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6. The Horse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$13,769 in the last 12 months   (deck #27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Kasey McKillop &lt;kasey@thehorse.com.au&gt; - active (last active 2026-06-11)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18 days ago; they typically reorder about every 48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7. BCH#1 Pty Ltd T/A 1st City Real Estate Group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$11,583 in the last 12 months   (deck #29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Ashlee Hasemer &lt;ashlee.hasemer@1stcity.com.au&gt; - active (last active 2026-04-23)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76 days ago; they typically reorder about every 40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8. Freelancer International Pty Ltd  </w:t>
      </w:r>
      <w:r>
        <w:rPr>
          <w:b/>
          <w:i w:val="0"/>
          <w:color w:val="707070"/>
          <w:sz w:val="20"/>
        </w:rPr>
        <w:t>[Corporate &amp; Professional]</w:t>
      </w:r>
      <w:r>
        <w:rPr>
          <w:b w:val="0"/>
          <w:i/>
          <w:color w:val="707070"/>
          <w:sz w:val="18"/>
        </w:rPr>
        <w:t xml:space="preserve">   $2,279 in the last 12 months   (deck #30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Evan Minh &lt;eminh@freelancer.com&gt; - active (last active 2026-03-31)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(8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Corporate &amp; Professional;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76 days ago; they typically reorder about every 56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9. Total Property Group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$6,334 in the last 12 months   (deck #37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Maddy Weir &lt;m.weir@totalpropertygroup.com.au&gt;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(m.weir@totalpropertygroup.com.au) is NOT the loudest contact (c.woods@totalpropertygroup.com.au, 56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321 days ago; they typically reorder about every 421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10. Ideate Co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$5,197 in the last 12 months   (deck #39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Eddie Fernandez &lt;eddie.fernandez@ideateco.com.au&gt; - active (last active 2026-05-26)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Soft Cover Books also buy Design Services, about 1.1 times more likely than the average customer (86% normally). Buys soft cover books (2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74 days ago; they typically reorder about every 45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11. Ignite Projects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$5,555 in the last 12 months   (deck #42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kate Fitzhenry &lt;kate@igniteprojects.net.au&gt; - active (last active 2026-03-18)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239 days ago; they typically reorder about every 734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12. Cheddar Pocket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$4,822 in the last 12 months   (deck #43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88% of customers who buy Flat Sheets also buy Design Services, about 1.0 times more likely than the average customer (86% normally). Buys flat sheets (4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209 days ago; they typically reorder about every 31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13. Disrupt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$13,260 in the last 12 months   (deck #48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Soft Cover Books also buy Design Services, about 1.1 times more likely than the average customer (86% normally). Buys soft cover books (2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Only one ordering occasion on record (80 days ago), so there's no reorder rhythm to read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14. Fortis Development Group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$17,008 in the last 12 months   (deck #49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Emely Young &lt;emely.young@pallasgroup.com.au&gt; - active (last active 2026-04-17)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(emely.young@pallasgroup.com.au) is NOT the loudest contact (giulia.baldini@pallasgroup.com.au, 17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Wide Format also buy Design Services, about 1.1 times more likely than the average customer (86% normally). Buys wide format (5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Design Services carries no strong industry signal for Property &amp; Real Estate;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Only one ordering occasion on record (4 days ago), so there's no reorder rhythm to read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30 biggest accounts by revenue over the last 12 months. </w:t>
      </w:r>
      <w:r>
        <w:rPr>
          <w:b w:val="0"/>
          <w:i w:val="0"/>
        </w:rPr>
        <w:t xml:space="preserve">Most are well covered (21 buy their full range, no real gap), which is a good thing: these are relationships to protect. </w:t>
      </w:r>
      <w:r>
        <w:rPr>
          <w:b w:val="0"/>
          <w:i w:val="0"/>
        </w:rPr>
        <w:t>9 of them still have a genuine gap worth a conversation, listed first.</w:t>
      </w:r>
    </w:p>
    <w:p>
      <w:r>
        <w:rPr>
          <w:b/>
          <w:i w:val="0"/>
          <w:color w:val="1B7F3B"/>
        </w:rPr>
        <w:t xml:space="preserve">Smart catch: </w:t>
      </w:r>
      <w:r>
        <w:rPr>
          <w:b w:val="0"/>
          <w:i w:val="0"/>
        </w:rPr>
        <w:t>for Camilla (Luxury Brands), the system swapped a generic Design Services suggestion for Wide Format, which is what Luxury Brands clients actually buy.</w:t>
      </w:r>
    </w:p>
    <w:p>
      <w:r>
        <w:rPr>
          <w:b/>
          <w:i w:val="0"/>
          <w:color w:val="1B7F3B"/>
        </w:rPr>
        <w:t xml:space="preserve">Smart catch: </w:t>
      </w:r>
      <w:r>
        <w:rPr>
          <w:b w:val="0"/>
          <w:i w:val="0"/>
        </w:rPr>
        <w:t>for Digital Transformation Agency (Government &amp; NFP), the system swapped a generic Design Services suggestion for Wide Format, which is what Government &amp; NFP clients actually buy.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CHERY MOTORS | OMODA | JAECOO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Industrial &amp; Manufacturing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$43,155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Industrial &amp; Manufacturing)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Civiq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Industrial &amp; Manufacturing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$24,565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Industrial &amp; Manufacturing (50%))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Camilla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$22,882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Luxury Brands (40%))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Digital Transformation Agency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Government &amp; NFP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$22,608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Government &amp; NFP (42%))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Melrose Park PP UJV 1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$21,949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Property &amp; Real Estate)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Sabbia Gallery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$19,094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Creative Arts &amp; Design (43%))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Fortis Development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Property &amp; Real Estate)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Holmes &amp; Fallon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$14,761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Luxury Brands (40%))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Horse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$13,769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Property Agency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$374,304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Rare ID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$211,635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Studio Odea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$175,263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Sekisui House Services (NSW) Pty Limited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$147,891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Frost Design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$145,098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Mirvac Projects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$123,595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Meriton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$75,919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James Creative Agency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$73,946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Metropolis Agency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$57,172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Brand &amp; Co.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$56,752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Landmark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$56,468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Boston Marketing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$35,343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Armadillo &amp; Co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$31,458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DROGA5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$28,070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Colliers International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$19,432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Charles Lloyd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$13,659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Buildcorp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$13,528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Ralph Lauren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$37,280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Monaco Property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$21,695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Walker Group Holdings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$20,035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Lincoln Place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$19,551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