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Mary</w:t>
      </w:r>
    </w:p>
    <w:p>
      <w:r>
        <w:rPr>
          <w:b w:val="0"/>
          <w:i/>
          <w:color w:val="707070"/>
          <w:sz w:val="19"/>
        </w:rPr>
        <w:t>Carbon8 - 1 opportunity cards - generated 2026-06-15 -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r>
        <w:rPr>
          <w:b/>
          <w:i w:val="0"/>
          <w:color w:val="707070"/>
        </w:rPr>
        <w:t xml:space="preserve">Note on contacts: </w:t>
      </w:r>
      <w:r>
        <w:rPr>
          <w:b w:val="0"/>
          <w:i/>
          <w:color w:val="707070"/>
          <w:sz w:val="18"/>
        </w:rPr>
        <w:t>there is no email mailbox connected for your accounts yet, so contact names and email timing may be missing or thin. Treat a blank contact as "not in our email data," not "no relationship," and confirm the decision-maker before reaching out.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Kathryn Green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$2,514 in the last 12 months   (deck #22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Kecia O'Sullivan &lt;info@kathryngreen.com.au&gt; - confirm contact - stale &gt;90d (last active 2025-10-21)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(14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340 days ago; they typically reorder about every 38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6 biggest accounts by revenue over the last 12 months. </w:t>
      </w:r>
      <w:r>
        <w:rPr>
          <w:b w:val="0"/>
          <w:i w:val="0"/>
        </w:rPr>
        <w:t xml:space="preserve">Most are well covered (5 buy their full range, no real gap), which is a good thing: these are relationships to protect. </w:t>
      </w:r>
      <w:r>
        <w:rPr>
          <w:b w:val="0"/>
          <w:i w:val="0"/>
        </w:rPr>
        <w:t>1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Merci Management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Creative Arts &amp; Design (43%))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Maui Jim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$209,549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Q Report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$62,722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Centuria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$59,565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Urban Purveyor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$42,896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Aje Wholesaling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$20,115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